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54" w:rsidRPr="00264175" w:rsidRDefault="00305D94">
      <w:pPr>
        <w:pStyle w:val="a6"/>
        <w:tabs>
          <w:tab w:val="left" w:pos="2610"/>
          <w:tab w:val="right" w:pos="9356"/>
          <w:tab w:val="right" w:pos="9781"/>
        </w:tabs>
        <w:snapToGrid w:val="0"/>
        <w:ind w:right="-58"/>
        <w:rPr>
          <w:rFonts w:eastAsiaTheme="minorEastAsia" w:cs="Arial"/>
          <w:bCs/>
          <w:sz w:val="24"/>
          <w:szCs w:val="24"/>
        </w:rPr>
      </w:pPr>
      <w:r>
        <w:rPr>
          <w:rFonts w:cs="Arial"/>
          <w:bCs/>
          <w:sz w:val="24"/>
          <w:szCs w:val="24"/>
        </w:rPr>
        <w:t>3GPP TSG RAN WG1 Meeting #</w:t>
      </w:r>
      <w:r w:rsidR="00B11D34">
        <w:rPr>
          <w:rFonts w:eastAsiaTheme="minorEastAsia" w:cs="Arial" w:hint="eastAsia"/>
          <w:bCs/>
          <w:sz w:val="24"/>
          <w:szCs w:val="24"/>
        </w:rPr>
        <w:t>99bis</w:t>
      </w:r>
      <w:r w:rsidR="00C13207">
        <w:rPr>
          <w:rFonts w:eastAsiaTheme="minorEastAsia" w:cs="Arial" w:hint="eastAsia"/>
          <w:bCs/>
          <w:sz w:val="24"/>
          <w:szCs w:val="24"/>
        </w:rPr>
        <w:t xml:space="preserve">                  </w:t>
      </w:r>
      <w:r w:rsidR="001F39FA">
        <w:rPr>
          <w:rFonts w:eastAsiaTheme="minorEastAsia" w:cs="Arial" w:hint="eastAsia"/>
          <w:bCs/>
          <w:sz w:val="24"/>
          <w:szCs w:val="24"/>
        </w:rPr>
        <w:t>R2-1712277</w:t>
      </w:r>
    </w:p>
    <w:p w:rsidR="000D7554" w:rsidRPr="00C13207" w:rsidRDefault="00B11D34">
      <w:pPr>
        <w:pStyle w:val="a6"/>
        <w:snapToGrid w:val="0"/>
        <w:rPr>
          <w:rFonts w:eastAsiaTheme="minorEastAsia" w:cs="Arial"/>
          <w:bCs/>
          <w:sz w:val="24"/>
          <w:szCs w:val="24"/>
        </w:rPr>
      </w:pPr>
      <w:r w:rsidRPr="00B11D34">
        <w:rPr>
          <w:rFonts w:cs="Arial"/>
          <w:noProof/>
          <w:sz w:val="24"/>
          <w:szCs w:val="24"/>
        </w:rPr>
        <w:t xml:space="preserve"> </w:t>
      </w:r>
      <w:r w:rsidR="003737B7">
        <w:rPr>
          <w:rFonts w:eastAsiaTheme="minorEastAsia" w:cs="Arial" w:hint="eastAsia"/>
          <w:noProof/>
          <w:sz w:val="24"/>
          <w:szCs w:val="24"/>
        </w:rPr>
        <w:t>Reno</w:t>
      </w:r>
      <w:r w:rsidRPr="00B8502A">
        <w:rPr>
          <w:rFonts w:cs="Arial"/>
          <w:noProof/>
          <w:sz w:val="24"/>
          <w:szCs w:val="24"/>
        </w:rPr>
        <w:t xml:space="preserve">, </w:t>
      </w:r>
      <w:r w:rsidR="003737B7">
        <w:rPr>
          <w:rFonts w:eastAsiaTheme="minorEastAsia" w:cs="Arial" w:hint="eastAsia"/>
          <w:noProof/>
          <w:sz w:val="24"/>
          <w:szCs w:val="24"/>
        </w:rPr>
        <w:t>Nevada</w:t>
      </w:r>
      <w:r w:rsidRPr="00B8502A">
        <w:rPr>
          <w:rFonts w:cs="Arial"/>
          <w:noProof/>
          <w:sz w:val="24"/>
          <w:szCs w:val="24"/>
        </w:rPr>
        <w:t xml:space="preserve">, </w:t>
      </w:r>
      <w:r w:rsidR="003737B7">
        <w:rPr>
          <w:rFonts w:eastAsiaTheme="minorEastAsia" w:cs="Arial" w:hint="eastAsia"/>
          <w:noProof/>
          <w:sz w:val="24"/>
          <w:szCs w:val="24"/>
        </w:rPr>
        <w:t>27</w:t>
      </w:r>
      <w:r w:rsidRPr="00B8502A">
        <w:rPr>
          <w:rFonts w:cs="Arial"/>
          <w:noProof/>
          <w:sz w:val="24"/>
          <w:szCs w:val="24"/>
          <w:vertAlign w:val="superscript"/>
        </w:rPr>
        <w:t>th</w:t>
      </w:r>
      <w:r w:rsidR="003737B7">
        <w:rPr>
          <w:rFonts w:eastAsiaTheme="minorEastAsia" w:cs="Arial" w:hint="eastAsia"/>
          <w:noProof/>
          <w:sz w:val="24"/>
          <w:szCs w:val="24"/>
        </w:rPr>
        <w:t>Nov.</w:t>
      </w:r>
      <w:r w:rsidRPr="00B8502A">
        <w:rPr>
          <w:rFonts w:cs="Arial"/>
          <w:noProof/>
          <w:sz w:val="24"/>
          <w:szCs w:val="24"/>
        </w:rPr>
        <w:t>– 1</w:t>
      </w:r>
      <w:r w:rsidR="003737B7" w:rsidRPr="003737B7">
        <w:rPr>
          <w:rFonts w:eastAsiaTheme="minorEastAsia" w:cs="Arial" w:hint="eastAsia"/>
          <w:noProof/>
          <w:sz w:val="24"/>
          <w:szCs w:val="24"/>
          <w:vertAlign w:val="superscript"/>
        </w:rPr>
        <w:t>st</w:t>
      </w:r>
      <w:r w:rsidR="003737B7">
        <w:rPr>
          <w:rFonts w:eastAsiaTheme="minorEastAsia" w:cs="Arial" w:hint="eastAsia"/>
          <w:noProof/>
          <w:sz w:val="24"/>
          <w:szCs w:val="24"/>
        </w:rPr>
        <w:t xml:space="preserve"> Dec</w:t>
      </w:r>
      <w:r w:rsidRPr="00B8502A">
        <w:rPr>
          <w:rFonts w:cs="Arial"/>
          <w:noProof/>
          <w:sz w:val="24"/>
          <w:szCs w:val="24"/>
        </w:rPr>
        <w:t xml:space="preserve"> 2017</w:t>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sidRPr="00C13207">
        <w:rPr>
          <w:rFonts w:eastAsiaTheme="minorEastAsia" w:cs="Arial" w:hint="eastAsia"/>
          <w:bCs/>
          <w:sz w:val="16"/>
          <w:szCs w:val="16"/>
        </w:rPr>
        <w:t xml:space="preserve">Revision of </w:t>
      </w:r>
      <w:r w:rsidR="00C13207" w:rsidRPr="00C13207">
        <w:rPr>
          <w:sz w:val="16"/>
          <w:szCs w:val="16"/>
        </w:rPr>
        <w:t>R</w:t>
      </w:r>
      <w:r w:rsidR="00C13207" w:rsidRPr="00C13207">
        <w:rPr>
          <w:rFonts w:eastAsia="宋体" w:hint="eastAsia"/>
          <w:sz w:val="16"/>
          <w:szCs w:val="16"/>
        </w:rPr>
        <w:t>2</w:t>
      </w:r>
      <w:r w:rsidR="00C13207" w:rsidRPr="00C13207">
        <w:rPr>
          <w:sz w:val="16"/>
          <w:szCs w:val="16"/>
        </w:rPr>
        <w:t>-17</w:t>
      </w:r>
      <w:r w:rsidR="00C13207" w:rsidRPr="00C13207">
        <w:rPr>
          <w:rFonts w:eastAsiaTheme="minorEastAsia" w:hint="eastAsia"/>
          <w:sz w:val="16"/>
          <w:szCs w:val="16"/>
        </w:rPr>
        <w:t>1</w:t>
      </w:r>
      <w:r w:rsidR="00A70A6B">
        <w:rPr>
          <w:rFonts w:eastAsiaTheme="minorEastAsia" w:hint="eastAsia"/>
          <w:sz w:val="16"/>
          <w:szCs w:val="16"/>
        </w:rPr>
        <w:t>1841</w:t>
      </w:r>
    </w:p>
    <w:p w:rsidR="000D7554" w:rsidRDefault="000D7554">
      <w:pPr>
        <w:pStyle w:val="a6"/>
        <w:tabs>
          <w:tab w:val="left" w:pos="1805"/>
        </w:tabs>
        <w:snapToGrid w:val="0"/>
        <w:ind w:left="1800" w:hanging="1800"/>
        <w:outlineLvl w:val="0"/>
        <w:rPr>
          <w:rFonts w:cs="Arial"/>
          <w:sz w:val="22"/>
        </w:rPr>
      </w:pPr>
    </w:p>
    <w:p w:rsidR="000D7554" w:rsidRDefault="00305D94">
      <w:pPr>
        <w:pStyle w:val="a6"/>
        <w:widowControl/>
        <w:tabs>
          <w:tab w:val="right" w:pos="9072"/>
        </w:tabs>
        <w:rPr>
          <w:rFonts w:eastAsia="宋体" w:cs="Arial"/>
          <w:sz w:val="22"/>
          <w:lang w:val="en-GB" w:eastAsia="en-US"/>
        </w:rPr>
      </w:pPr>
      <w:r>
        <w:rPr>
          <w:rFonts w:eastAsia="宋体" w:cs="Arial"/>
          <w:sz w:val="22"/>
          <w:lang w:val="en-GB" w:eastAsia="en-US"/>
        </w:rPr>
        <w:t>Title:</w:t>
      </w:r>
      <w:r w:rsidR="004F738F">
        <w:rPr>
          <w:rFonts w:eastAsia="宋体" w:cs="Arial" w:hint="eastAsia"/>
          <w:sz w:val="22"/>
          <w:lang w:val="en-GB"/>
        </w:rPr>
        <w:t xml:space="preserve"> Discussion on initial access</w:t>
      </w:r>
      <w:r w:rsidR="002F5493">
        <w:rPr>
          <w:rFonts w:eastAsia="宋体" w:cs="Arial" w:hint="eastAsia"/>
          <w:sz w:val="22"/>
          <w:lang w:val="en-GB"/>
        </w:rPr>
        <w:t xml:space="preserve"> for SUL</w:t>
      </w:r>
      <w:r>
        <w:rPr>
          <w:rFonts w:eastAsia="宋体" w:cs="Arial"/>
          <w:sz w:val="22"/>
          <w:lang w:val="en-GB" w:eastAsia="en-US"/>
        </w:rPr>
        <w:tab/>
      </w:r>
    </w:p>
    <w:p w:rsidR="000D7554" w:rsidRDefault="00305D94">
      <w:pPr>
        <w:pStyle w:val="a6"/>
        <w:widowControl/>
        <w:tabs>
          <w:tab w:val="right" w:pos="9072"/>
        </w:tabs>
        <w:rPr>
          <w:rFonts w:eastAsia="宋体" w:cs="Arial"/>
          <w:sz w:val="22"/>
          <w:lang w:val="en-GB"/>
        </w:rPr>
      </w:pPr>
      <w:r>
        <w:rPr>
          <w:rFonts w:eastAsia="宋体" w:cs="Arial"/>
          <w:sz w:val="22"/>
          <w:lang w:val="en-GB" w:eastAsia="en-US"/>
        </w:rPr>
        <w:t xml:space="preserve">Source: </w:t>
      </w:r>
      <w:r>
        <w:rPr>
          <w:rFonts w:eastAsia="宋体" w:cs="Arial" w:hint="eastAsia"/>
          <w:sz w:val="22"/>
        </w:rPr>
        <w:t xml:space="preserve">  </w:t>
      </w:r>
      <w:r>
        <w:rPr>
          <w:rFonts w:eastAsia="宋体" w:cs="Arial"/>
          <w:sz w:val="22"/>
          <w:lang w:val="en-GB" w:eastAsia="en-US"/>
        </w:rPr>
        <w:t>ZTE</w:t>
      </w:r>
      <w:r w:rsidR="00575E53">
        <w:rPr>
          <w:rFonts w:eastAsia="宋体" w:cs="Arial" w:hint="eastAsia"/>
          <w:sz w:val="22"/>
          <w:lang w:val="en-GB"/>
        </w:rPr>
        <w:t>, Sanec</w:t>
      </w:r>
      <w:r w:rsidR="002D413E">
        <w:rPr>
          <w:rFonts w:eastAsia="宋体" w:cs="Arial" w:hint="eastAsia"/>
          <w:sz w:val="22"/>
          <w:lang w:val="en-GB"/>
        </w:rPr>
        <w:t>hips</w:t>
      </w:r>
    </w:p>
    <w:p w:rsidR="000D7554" w:rsidRDefault="005269D2">
      <w:pPr>
        <w:pStyle w:val="a6"/>
        <w:widowControl/>
        <w:tabs>
          <w:tab w:val="right" w:pos="9072"/>
        </w:tabs>
        <w:rPr>
          <w:rFonts w:eastAsia="宋体" w:cs="Arial"/>
          <w:sz w:val="22"/>
          <w:lang w:val="en-GB"/>
        </w:rPr>
      </w:pPr>
      <w:r>
        <w:rPr>
          <w:rFonts w:eastAsia="宋体" w:cs="Arial"/>
          <w:sz w:val="22"/>
          <w:lang w:val="en-GB" w:eastAsia="en-US"/>
        </w:rPr>
        <w:t>Agenda Item:</w:t>
      </w:r>
      <w:r w:rsidR="00CE1EFA">
        <w:rPr>
          <w:rFonts w:eastAsia="宋体" w:cs="Arial" w:hint="eastAsia"/>
          <w:sz w:val="22"/>
          <w:lang w:val="en-GB"/>
        </w:rPr>
        <w:t xml:space="preserve"> </w:t>
      </w:r>
      <w:r w:rsidR="00DF4EF5">
        <w:rPr>
          <w:rFonts w:eastAsia="宋体" w:cs="Arial" w:hint="eastAsia"/>
          <w:sz w:val="22"/>
          <w:lang w:val="en-GB"/>
        </w:rPr>
        <w:t>10.2.8</w:t>
      </w:r>
    </w:p>
    <w:p w:rsidR="000D7554" w:rsidRDefault="00305D94">
      <w:pPr>
        <w:pStyle w:val="a6"/>
        <w:widowControl/>
        <w:tabs>
          <w:tab w:val="right" w:pos="9072"/>
        </w:tabs>
        <w:rPr>
          <w:rFonts w:eastAsia="宋体" w:cs="Arial"/>
          <w:sz w:val="22"/>
          <w:lang w:val="en-GB"/>
        </w:rPr>
      </w:pPr>
      <w:bookmarkStart w:id="0" w:name="OLE_LINK32"/>
      <w:bookmarkStart w:id="1" w:name="OLE_LINK33"/>
      <w:r>
        <w:rPr>
          <w:rFonts w:eastAsia="宋体" w:cs="Arial"/>
          <w:sz w:val="22"/>
          <w:lang w:val="en-GB" w:eastAsia="en-US"/>
        </w:rPr>
        <w:t>Document for:</w:t>
      </w:r>
      <w:bookmarkStart w:id="2" w:name="DocumentFor"/>
      <w:bookmarkEnd w:id="2"/>
      <w:r>
        <w:rPr>
          <w:rFonts w:eastAsia="宋体" w:cs="Arial" w:hint="eastAsia"/>
          <w:sz w:val="22"/>
          <w:lang w:val="en-GB" w:eastAsia="en-US"/>
        </w:rPr>
        <w:t xml:space="preserve"> </w:t>
      </w:r>
      <w:r>
        <w:rPr>
          <w:rFonts w:eastAsia="宋体" w:cs="Arial"/>
          <w:sz w:val="22"/>
          <w:lang w:val="en-GB" w:eastAsia="en-US"/>
        </w:rPr>
        <w:t xml:space="preserve"> Discussion</w:t>
      </w:r>
      <w:r>
        <w:rPr>
          <w:rFonts w:eastAsia="宋体" w:cs="Arial" w:hint="eastAsia"/>
          <w:sz w:val="22"/>
          <w:lang w:val="en-GB" w:eastAsia="en-US"/>
        </w:rPr>
        <w:t xml:space="preserve"> and Decision</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3" w:name="OLE_LINK3"/>
      <w:r>
        <w:rPr>
          <w:rFonts w:ascii="Arial" w:hAnsi="Arial" w:hint="eastAsia"/>
          <w:b w:val="0"/>
          <w:kern w:val="0"/>
          <w:sz w:val="32"/>
          <w:lang w:val="en-GB" w:eastAsia="en-US"/>
        </w:rPr>
        <w:t>Introduction</w:t>
      </w:r>
    </w:p>
    <w:p w:rsidR="00752BEE" w:rsidRDefault="00FE745B" w:rsidP="00A40FC8">
      <w:pPr>
        <w:rPr>
          <w:szCs w:val="20"/>
        </w:rPr>
      </w:pPr>
      <w:bookmarkStart w:id="4" w:name="OLE_LINK1"/>
      <w:bookmarkEnd w:id="0"/>
      <w:bookmarkEnd w:id="1"/>
      <w:bookmarkEnd w:id="3"/>
      <w:r>
        <w:rPr>
          <w:rFonts w:hint="eastAsia"/>
          <w:szCs w:val="20"/>
        </w:rPr>
        <w:t>At RAN2 #99bis meeting RAN2 achieved following agreements:</w:t>
      </w:r>
    </w:p>
    <w:p w:rsidR="003C121F" w:rsidRPr="00AF2312" w:rsidRDefault="003C121F" w:rsidP="003C121F">
      <w:pPr>
        <w:pStyle w:val="Doc-text2"/>
        <w:pBdr>
          <w:top w:val="single" w:sz="4" w:space="1" w:color="auto"/>
          <w:left w:val="single" w:sz="4" w:space="4" w:color="auto"/>
          <w:bottom w:val="single" w:sz="4" w:space="1" w:color="auto"/>
          <w:right w:val="single" w:sz="4" w:space="4" w:color="auto"/>
        </w:pBdr>
        <w:rPr>
          <w:i/>
        </w:rPr>
      </w:pPr>
      <w:r w:rsidRPr="00AF2312">
        <w:rPr>
          <w:i/>
        </w:rPr>
        <w:t>Agreements for SUL operation in connected mode:</w:t>
      </w:r>
    </w:p>
    <w:p w:rsidR="003C121F" w:rsidRPr="00AF2312" w:rsidRDefault="003C121F" w:rsidP="003C121F">
      <w:pPr>
        <w:pStyle w:val="Doc-text2"/>
        <w:pBdr>
          <w:top w:val="single" w:sz="4" w:space="1" w:color="auto"/>
          <w:left w:val="single" w:sz="4" w:space="4" w:color="auto"/>
          <w:bottom w:val="single" w:sz="4" w:space="1" w:color="auto"/>
          <w:right w:val="single" w:sz="4" w:space="4" w:color="auto"/>
        </w:pBdr>
        <w:rPr>
          <w:i/>
        </w:rPr>
      </w:pPr>
      <w:r w:rsidRPr="00AF2312">
        <w:rPr>
          <w:i/>
        </w:rPr>
        <w:t>1</w:t>
      </w:r>
      <w:r w:rsidRPr="00AF2312">
        <w:rPr>
          <w:i/>
        </w:rPr>
        <w:tab/>
        <w:t>When SUL is configured there are 2 ULs configured for one DL of the same cell. (FFS how much configuration is provided for the 2 ULs)</w:t>
      </w:r>
    </w:p>
    <w:p w:rsidR="003C121F" w:rsidRPr="00AF2312" w:rsidRDefault="003C121F" w:rsidP="003C121F">
      <w:pPr>
        <w:pStyle w:val="Doc-text2"/>
        <w:pBdr>
          <w:top w:val="single" w:sz="4" w:space="1" w:color="auto"/>
          <w:left w:val="single" w:sz="4" w:space="4" w:color="auto"/>
          <w:bottom w:val="single" w:sz="4" w:space="1" w:color="auto"/>
          <w:right w:val="single" w:sz="4" w:space="4" w:color="auto"/>
        </w:pBdr>
        <w:rPr>
          <w:i/>
        </w:rPr>
      </w:pPr>
      <w:r w:rsidRPr="00AF2312">
        <w:rPr>
          <w:i/>
        </w:rPr>
        <w:t>2</w:t>
      </w:r>
      <w:r w:rsidRPr="00AF2312">
        <w:rPr>
          <w:i/>
        </w:rPr>
        <w:tab/>
        <w:t>At any point in time, each serving cell has at most one PUSCH for transmission</w:t>
      </w:r>
    </w:p>
    <w:p w:rsidR="00BE0996" w:rsidRDefault="00BE0996" w:rsidP="00BE0996">
      <w:pPr>
        <w:spacing w:after="120"/>
        <w:rPr>
          <w:sz w:val="20"/>
        </w:rPr>
      </w:pPr>
      <w:r>
        <w:rPr>
          <w:sz w:val="20"/>
        </w:rPr>
        <w:t>At the last RAN</w:t>
      </w:r>
      <w:r>
        <w:rPr>
          <w:rFonts w:hint="eastAsia"/>
          <w:sz w:val="20"/>
        </w:rPr>
        <w:t>1</w:t>
      </w:r>
      <w:r>
        <w:rPr>
          <w:sz w:val="20"/>
        </w:rPr>
        <w:t># 9</w:t>
      </w:r>
      <w:r>
        <w:rPr>
          <w:rFonts w:hint="eastAsia"/>
          <w:sz w:val="20"/>
        </w:rPr>
        <w:t>0</w:t>
      </w:r>
      <w:r>
        <w:rPr>
          <w:sz w:val="20"/>
        </w:rPr>
        <w:t xml:space="preserve"> meeting, the following agreements were achieved with resp</w:t>
      </w:r>
      <w:r w:rsidR="003C121F">
        <w:rPr>
          <w:sz w:val="20"/>
        </w:rPr>
        <w:t>ect to RACH procedure</w:t>
      </w:r>
      <w:r w:rsidR="003C121F">
        <w:rPr>
          <w:rFonts w:hint="eastAsia"/>
          <w:sz w:val="20"/>
        </w:rPr>
        <w:t xml:space="preserve"> which is sent to RAN2 via LS </w:t>
      </w:r>
      <w:r w:rsidR="00C71457">
        <w:rPr>
          <w:rFonts w:hint="eastAsia"/>
        </w:rPr>
        <w:t>[1]</w:t>
      </w:r>
      <w:r>
        <w:rPr>
          <w:rFonts w:hint="eastAsia"/>
          <w:sz w:val="20"/>
        </w:rPr>
        <w:t>.</w:t>
      </w:r>
    </w:p>
    <w:p w:rsidR="00BE0996" w:rsidRDefault="00BE0996" w:rsidP="00BE0996">
      <w:pPr>
        <w:tabs>
          <w:tab w:val="left" w:pos="1440"/>
        </w:tabs>
        <w:rPr>
          <w:rFonts w:eastAsia="MS Mincho"/>
          <w:sz w:val="20"/>
          <w:szCs w:val="20"/>
          <w:lang w:eastAsia="ja-JP"/>
        </w:rPr>
      </w:pPr>
      <w:r>
        <w:rPr>
          <w:rFonts w:eastAsia="MS Mincho"/>
          <w:sz w:val="20"/>
          <w:szCs w:val="20"/>
          <w:highlight w:val="green"/>
          <w:lang w:eastAsia="ja-JP"/>
        </w:rPr>
        <w:t>Agreements</w:t>
      </w:r>
      <w:r>
        <w:rPr>
          <w:rFonts w:eastAsia="MS Mincho"/>
          <w:sz w:val="20"/>
          <w:szCs w:val="20"/>
          <w:lang w:eastAsia="ja-JP"/>
        </w:rPr>
        <w:t>:</w:t>
      </w:r>
    </w:p>
    <w:p w:rsidR="00BE0996" w:rsidRDefault="00BE0996" w:rsidP="00BE0996">
      <w:pPr>
        <w:numPr>
          <w:ilvl w:val="0"/>
          <w:numId w:val="3"/>
        </w:numPr>
        <w:tabs>
          <w:tab w:val="left" w:pos="1440"/>
        </w:tabs>
        <w:rPr>
          <w:rFonts w:eastAsia="MS Mincho"/>
          <w:i/>
          <w:sz w:val="20"/>
          <w:szCs w:val="20"/>
          <w:lang w:eastAsia="ja-JP"/>
        </w:rPr>
      </w:pPr>
      <w:r>
        <w:rPr>
          <w:rFonts w:eastAsia="MS Mincho"/>
          <w:i/>
          <w:sz w:val="20"/>
          <w:szCs w:val="20"/>
          <w:lang w:eastAsia="ja-JP"/>
        </w:rPr>
        <w:t xml:space="preserve">For NR UE initial access based on RACH configuration for an SUL carrier </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RACH configuration for the SUL carrier is broadcasted in RMSI</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The configuration information for the SUL carrier is sufficient for UEs to complete RACH procedure via only that SUL carrier</w:t>
      </w:r>
    </w:p>
    <w:p w:rsidR="00BE0996" w:rsidRDefault="00BE0996" w:rsidP="00BE0996">
      <w:pPr>
        <w:numPr>
          <w:ilvl w:val="2"/>
          <w:numId w:val="3"/>
        </w:numPr>
        <w:tabs>
          <w:tab w:val="left" w:pos="1440"/>
        </w:tabs>
        <w:rPr>
          <w:rFonts w:eastAsia="MS Mincho"/>
          <w:i/>
          <w:sz w:val="20"/>
          <w:szCs w:val="20"/>
          <w:lang w:eastAsia="ja-JP"/>
        </w:rPr>
      </w:pPr>
      <w:r>
        <w:rPr>
          <w:rFonts w:eastAsia="MS Mincho"/>
          <w:i/>
          <w:sz w:val="20"/>
          <w:szCs w:val="20"/>
          <w:lang w:eastAsia="ja-JP"/>
        </w:rPr>
        <w:t>In particular the configuration information includes all necessary power control parameters</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If the UE starts its RACH procedure on the SUL carrier, then the RACH procedure is completed with all uplink transmission taking place on that carrier</w:t>
      </w:r>
    </w:p>
    <w:p w:rsidR="00BE0996" w:rsidRDefault="00BE0996" w:rsidP="00BE0996">
      <w:pPr>
        <w:rPr>
          <w:rFonts w:eastAsia="MS Mincho"/>
          <w:i/>
          <w:sz w:val="20"/>
          <w:szCs w:val="20"/>
          <w:lang w:eastAsia="ja-JP"/>
        </w:rPr>
      </w:pPr>
      <w:r>
        <w:rPr>
          <w:rFonts w:eastAsia="MS Mincho"/>
          <w:i/>
          <w:sz w:val="20"/>
          <w:szCs w:val="20"/>
          <w:lang w:eastAsia="ja-JP"/>
        </w:rPr>
        <w:t>It is expected that the network would be able to request a connected-mode UE to initiate a RACH procedure towards any uplink carrier for path-loss and timing-advance acquisition</w:t>
      </w:r>
    </w:p>
    <w:p w:rsidR="00BE0996" w:rsidRDefault="00BE0996" w:rsidP="00BE0996">
      <w:pPr>
        <w:rPr>
          <w:rFonts w:eastAsia="MS Mincho"/>
          <w:i/>
          <w:sz w:val="20"/>
          <w:szCs w:val="20"/>
          <w:highlight w:val="yellow"/>
          <w:lang w:eastAsia="ja-JP"/>
        </w:rPr>
      </w:pPr>
    </w:p>
    <w:p w:rsidR="00BE0996" w:rsidRDefault="00BE0996" w:rsidP="00BE0996">
      <w:pPr>
        <w:tabs>
          <w:tab w:val="left" w:pos="1440"/>
        </w:tabs>
        <w:rPr>
          <w:rFonts w:eastAsia="MS Mincho"/>
          <w:sz w:val="20"/>
          <w:szCs w:val="20"/>
          <w:highlight w:val="green"/>
          <w:lang w:eastAsia="ja-JP"/>
        </w:rPr>
      </w:pPr>
      <w:r>
        <w:rPr>
          <w:rFonts w:eastAsia="MS Mincho"/>
          <w:sz w:val="20"/>
          <w:szCs w:val="20"/>
          <w:highlight w:val="green"/>
          <w:lang w:eastAsia="ja-JP"/>
        </w:rPr>
        <w:t>Agreements:</w:t>
      </w:r>
    </w:p>
    <w:p w:rsidR="00BE0996" w:rsidRDefault="00BE0996" w:rsidP="00BE0996">
      <w:pPr>
        <w:numPr>
          <w:ilvl w:val="0"/>
          <w:numId w:val="4"/>
        </w:numPr>
        <w:tabs>
          <w:tab w:val="left" w:pos="1440"/>
        </w:tabs>
        <w:rPr>
          <w:rFonts w:eastAsia="MS Mincho"/>
          <w:i/>
          <w:iCs/>
          <w:sz w:val="20"/>
          <w:szCs w:val="20"/>
          <w:lang w:eastAsia="ja-JP"/>
        </w:rPr>
      </w:pPr>
      <w:r>
        <w:rPr>
          <w:rFonts w:eastAsia="MS Mincho"/>
          <w:i/>
          <w:iCs/>
          <w:sz w:val="20"/>
          <w:szCs w:val="20"/>
          <w:lang w:eastAsia="ja-JP"/>
        </w:rPr>
        <w:t>Each UL carrier (including SUL) available for initial access has its own separate power control configuration.</w:t>
      </w:r>
    </w:p>
    <w:p w:rsidR="00BE0996" w:rsidRDefault="00BE0996" w:rsidP="00BE0996">
      <w:pPr>
        <w:numPr>
          <w:ilvl w:val="0"/>
          <w:numId w:val="4"/>
        </w:numPr>
        <w:tabs>
          <w:tab w:val="left" w:pos="1440"/>
        </w:tabs>
        <w:rPr>
          <w:rFonts w:eastAsia="MS Mincho"/>
          <w:i/>
          <w:iCs/>
          <w:sz w:val="20"/>
          <w:szCs w:val="20"/>
          <w:lang w:eastAsia="ja-JP"/>
        </w:rPr>
      </w:pPr>
      <w:r>
        <w:rPr>
          <w:rFonts w:eastAsia="MS Mincho"/>
          <w:i/>
          <w:iCs/>
          <w:sz w:val="20"/>
          <w:szCs w:val="20"/>
          <w:lang w:eastAsia="ja-JP"/>
        </w:rPr>
        <w:t>Power adjustment for SUL should be taken into account in the uplink power control</w:t>
      </w:r>
    </w:p>
    <w:p w:rsidR="00BE0996" w:rsidRDefault="00BE0996" w:rsidP="00BE0996">
      <w:pPr>
        <w:numPr>
          <w:ilvl w:val="1"/>
          <w:numId w:val="4"/>
        </w:numPr>
        <w:rPr>
          <w:rFonts w:eastAsia="MS Mincho"/>
          <w:i/>
          <w:iCs/>
          <w:sz w:val="20"/>
          <w:szCs w:val="20"/>
          <w:lang w:eastAsia="ja-JP"/>
        </w:rPr>
      </w:pPr>
      <w:r>
        <w:rPr>
          <w:rFonts w:eastAsia="MS Mincho"/>
          <w:i/>
          <w:iCs/>
          <w:sz w:val="20"/>
          <w:szCs w:val="20"/>
          <w:lang w:eastAsia="ja-JP"/>
        </w:rPr>
        <w:t>The power adjustment for SUL can be used to compensate the difference between a pathloss estimate for the SUL frequency and the path loss estimated on the DL carrier where the UE receives the RMSI.</w:t>
      </w:r>
    </w:p>
    <w:p w:rsidR="00BE0996" w:rsidRDefault="00BE0996" w:rsidP="00BE0996">
      <w:pPr>
        <w:rPr>
          <w:rFonts w:eastAsiaTheme="minorEastAsia"/>
          <w:i/>
          <w:iCs/>
          <w:sz w:val="20"/>
          <w:szCs w:val="20"/>
        </w:rPr>
      </w:pPr>
      <w:r>
        <w:rPr>
          <w:rFonts w:eastAsia="MS Mincho"/>
          <w:i/>
          <w:iCs/>
          <w:sz w:val="20"/>
          <w:szCs w:val="20"/>
          <w:lang w:eastAsia="ja-JP"/>
        </w:rPr>
        <w:t>Note: it may be possible to include the power adjustment in P0.</w:t>
      </w:r>
    </w:p>
    <w:p w:rsidR="003C121F" w:rsidRPr="003C121F" w:rsidRDefault="003C121F" w:rsidP="00BE0996">
      <w:pPr>
        <w:rPr>
          <w:rFonts w:eastAsiaTheme="minorEastAsia"/>
          <w:iCs/>
          <w:sz w:val="20"/>
          <w:szCs w:val="20"/>
        </w:rPr>
      </w:pPr>
      <w:r>
        <w:rPr>
          <w:rFonts w:eastAsiaTheme="minorEastAsia" w:hint="eastAsia"/>
          <w:iCs/>
          <w:sz w:val="20"/>
          <w:szCs w:val="20"/>
        </w:rPr>
        <w:t>In this paper issues related to initial access procedure are discussed by considering more trigger events for RACH procedure.</w:t>
      </w:r>
    </w:p>
    <w:p w:rsidR="009C2859" w:rsidRPr="00842481" w:rsidRDefault="00305D94" w:rsidP="00A04D03">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5" w:name="OLE_LINK9"/>
      <w:bookmarkEnd w:id="4"/>
      <w:r>
        <w:rPr>
          <w:rFonts w:ascii="Arial" w:hAnsi="Arial" w:hint="eastAsia"/>
          <w:b w:val="0"/>
          <w:kern w:val="0"/>
          <w:sz w:val="32"/>
          <w:lang w:val="en-GB" w:eastAsia="en-US"/>
        </w:rPr>
        <w:lastRenderedPageBreak/>
        <w:t>Discussion</w:t>
      </w:r>
    </w:p>
    <w:p w:rsidR="00BE0996" w:rsidRPr="00121AFE" w:rsidRDefault="00DC4D32" w:rsidP="00121AFE">
      <w:pPr>
        <w:pStyle w:val="1"/>
        <w:numPr>
          <w:ilvl w:val="1"/>
          <w:numId w:val="2"/>
        </w:numPr>
        <w:pBdr>
          <w:top w:val="single" w:sz="12" w:space="3" w:color="auto"/>
        </w:pBdr>
        <w:tabs>
          <w:tab w:val="clear" w:pos="-806"/>
          <w:tab w:val="clear" w:pos="576"/>
          <w:tab w:val="left" w:pos="567"/>
        </w:tabs>
        <w:overflowPunct w:val="0"/>
        <w:autoSpaceDE w:val="0"/>
        <w:autoSpaceDN w:val="0"/>
        <w:adjustRightInd w:val="0"/>
        <w:spacing w:before="240" w:after="180" w:line="240" w:lineRule="auto"/>
        <w:ind w:left="567"/>
        <w:textAlignment w:val="baseline"/>
        <w:rPr>
          <w:rFonts w:ascii="Arial" w:hAnsi="Arial"/>
          <w:b w:val="0"/>
          <w:kern w:val="0"/>
          <w:sz w:val="32"/>
          <w:lang w:val="en-GB" w:eastAsia="en-US"/>
        </w:rPr>
      </w:pPr>
      <w:r>
        <w:rPr>
          <w:rFonts w:ascii="Arial" w:hAnsi="Arial" w:hint="eastAsia"/>
          <w:b w:val="0"/>
          <w:kern w:val="0"/>
          <w:sz w:val="32"/>
          <w:lang w:val="en-GB"/>
        </w:rPr>
        <w:t>Initial access procedure</w:t>
      </w:r>
    </w:p>
    <w:p w:rsidR="004E3DA6" w:rsidRDefault="00BA0554">
      <w:pPr>
        <w:spacing w:after="120"/>
        <w:rPr>
          <w:sz w:val="20"/>
        </w:rPr>
      </w:pPr>
      <w:r>
        <w:rPr>
          <w:rFonts w:hint="eastAsia"/>
          <w:sz w:val="20"/>
        </w:rPr>
        <w:t>RAN2 agreements at RAN2#99bis meeting:</w:t>
      </w:r>
    </w:p>
    <w:p w:rsidR="00BA0554" w:rsidRDefault="00BA0554" w:rsidP="00BA0554">
      <w:pPr>
        <w:pStyle w:val="Doc-text2"/>
        <w:pBdr>
          <w:top w:val="single" w:sz="4" w:space="1" w:color="auto"/>
          <w:left w:val="single" w:sz="4" w:space="4" w:color="auto"/>
          <w:bottom w:val="single" w:sz="4" w:space="1" w:color="auto"/>
          <w:right w:val="single" w:sz="4" w:space="4" w:color="auto"/>
        </w:pBdr>
      </w:pPr>
      <w:r w:rsidRPr="00BA0554">
        <w:rPr>
          <w:highlight w:val="green"/>
        </w:rPr>
        <w:t>Agreements</w:t>
      </w:r>
      <w:r>
        <w:t xml:space="preserve"> for SUL operation in connected mode:</w:t>
      </w:r>
    </w:p>
    <w:p w:rsidR="00BA0554" w:rsidRDefault="00BA0554" w:rsidP="00BA0554">
      <w:pPr>
        <w:pStyle w:val="Doc-text2"/>
        <w:pBdr>
          <w:top w:val="single" w:sz="4" w:space="1" w:color="auto"/>
          <w:left w:val="single" w:sz="4" w:space="4" w:color="auto"/>
          <w:bottom w:val="single" w:sz="4" w:space="1" w:color="auto"/>
          <w:right w:val="single" w:sz="4" w:space="4" w:color="auto"/>
        </w:pBdr>
      </w:pPr>
      <w:r>
        <w:t>1</w:t>
      </w:r>
      <w:r>
        <w:tab/>
        <w:t>When SUL is configured there are 2 ULs configured for one DL of the same cell. (FFS how much configuration is provided for the 2 ULs)</w:t>
      </w:r>
    </w:p>
    <w:p w:rsidR="00BA0554" w:rsidRDefault="00BA0554" w:rsidP="00BA0554">
      <w:pPr>
        <w:pStyle w:val="Doc-text2"/>
        <w:pBdr>
          <w:top w:val="single" w:sz="4" w:space="1" w:color="auto"/>
          <w:left w:val="single" w:sz="4" w:space="4" w:color="auto"/>
          <w:bottom w:val="single" w:sz="4" w:space="1" w:color="auto"/>
          <w:right w:val="single" w:sz="4" w:space="4" w:color="auto"/>
        </w:pBdr>
      </w:pPr>
      <w:r>
        <w:t>2</w:t>
      </w:r>
      <w:r>
        <w:tab/>
        <w:t>At any point in time, each serving cell has at most one PUSCH for transmission</w:t>
      </w:r>
    </w:p>
    <w:p w:rsidR="009F6BDE" w:rsidRDefault="0088769F" w:rsidP="009F6BDE">
      <w:pPr>
        <w:spacing w:after="120"/>
        <w:jc w:val="center"/>
        <w:rPr>
          <w:sz w:val="20"/>
        </w:rPr>
      </w:pPr>
      <w:r>
        <w:rPr>
          <w:rFonts w:hint="eastAsia"/>
          <w:sz w:val="20"/>
        </w:rPr>
        <w:t>=&gt;</w:t>
      </w:r>
    </w:p>
    <w:p w:rsidR="009F6BDE" w:rsidRDefault="009F6BDE" w:rsidP="009F6BDE">
      <w:pPr>
        <w:spacing w:after="120"/>
        <w:jc w:val="center"/>
        <w:rPr>
          <w:sz w:val="20"/>
        </w:rPr>
      </w:pPr>
      <w:r w:rsidRPr="00DA71A4">
        <w:rPr>
          <w:noProof/>
          <w:sz w:val="20"/>
        </w:rPr>
        <w:drawing>
          <wp:inline distT="0" distB="0" distL="0" distR="0">
            <wp:extent cx="3169546" cy="1262209"/>
            <wp:effectExtent l="19050" t="0" r="0" b="0"/>
            <wp:docPr id="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72296" cy="2500330"/>
                      <a:chOff x="1785918" y="2071678"/>
                      <a:chExt cx="6572296" cy="2500330"/>
                    </a:xfrm>
                  </a:grpSpPr>
                  <a:sp>
                    <a:nvSpPr>
                      <a:cNvPr id="4" name="圆角矩形 3"/>
                      <a:cNvSpPr/>
                    </a:nvSpPr>
                    <a:spPr>
                      <a:xfrm>
                        <a:off x="6715140" y="2071678"/>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 DL</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圆角矩形 4"/>
                      <a:cNvSpPr/>
                    </a:nvSpPr>
                    <a:spPr>
                      <a:xfrm>
                        <a:off x="1785918" y="3571876"/>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F1 UL </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圆角矩形 6"/>
                      <a:cNvSpPr/>
                    </a:nvSpPr>
                    <a:spPr>
                      <a:xfrm>
                        <a:off x="6715140" y="3643314"/>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 UL </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直接箭头连接符 10"/>
                      <a:cNvCxnSpPr>
                        <a:stCxn id="5" idx="0"/>
                        <a:endCxn id="4" idx="1"/>
                      </a:cNvCxnSpPr>
                    </a:nvCxnSpPr>
                    <a:spPr>
                      <a:xfrm flipV="1">
                        <a:off x="2607455" y="2536025"/>
                        <a:ext cx="4107685" cy="1035851"/>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stCxn id="4" idx="2"/>
                        <a:endCxn id="7" idx="0"/>
                      </a:cNvCxnSpPr>
                    </a:nvCxnSpPr>
                    <a:spPr>
                      <a:xfrm>
                        <a:off x="7536677" y="3000372"/>
                        <a:ext cx="0" cy="642942"/>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F6BDE" w:rsidRDefault="009F6BDE" w:rsidP="009F6BDE">
      <w:pPr>
        <w:spacing w:after="120"/>
        <w:jc w:val="center"/>
        <w:rPr>
          <w:sz w:val="20"/>
        </w:rPr>
      </w:pPr>
      <w:r>
        <w:rPr>
          <w:rFonts w:hint="eastAsia"/>
          <w:sz w:val="20"/>
        </w:rPr>
        <w:t>Figure 1 cell model</w:t>
      </w:r>
    </w:p>
    <w:p w:rsidR="003F3394" w:rsidRDefault="003F3394" w:rsidP="003F3394">
      <w:pPr>
        <w:spacing w:after="120"/>
        <w:rPr>
          <w:sz w:val="20"/>
        </w:rPr>
      </w:pPr>
      <w:r>
        <w:rPr>
          <w:sz w:val="20"/>
        </w:rPr>
        <w:t>I</w:t>
      </w:r>
      <w:r>
        <w:rPr>
          <w:rFonts w:hint="eastAsia"/>
          <w:sz w:val="20"/>
        </w:rPr>
        <w:t>n Figure1 F2 is an unpaired</w:t>
      </w:r>
      <w:r>
        <w:rPr>
          <w:sz w:val="20"/>
        </w:rPr>
        <w:t xml:space="preserve"> NR carrier</w:t>
      </w:r>
      <w:r>
        <w:rPr>
          <w:rFonts w:hint="eastAsia"/>
          <w:sz w:val="20"/>
        </w:rPr>
        <w:t>. F1 is a SUL carrier and it supplements F2 DL carrier. In this paper carrier such as F2 in Figure1 is called normal NR carrier.</w:t>
      </w:r>
    </w:p>
    <w:p w:rsidR="00BE0996" w:rsidRDefault="00A971AD">
      <w:pPr>
        <w:spacing w:after="120"/>
        <w:rPr>
          <w:sz w:val="20"/>
        </w:rPr>
      </w:pPr>
      <w:r>
        <w:rPr>
          <w:rFonts w:hint="eastAsia"/>
          <w:sz w:val="20"/>
        </w:rPr>
        <w:t xml:space="preserve">RAN1 agreed that </w:t>
      </w:r>
      <w:r>
        <w:rPr>
          <w:sz w:val="20"/>
        </w:rPr>
        <w:t>“</w:t>
      </w:r>
      <w:r>
        <w:rPr>
          <w:rFonts w:eastAsia="MS Mincho"/>
          <w:i/>
          <w:sz w:val="20"/>
          <w:szCs w:val="20"/>
          <w:lang w:eastAsia="ja-JP"/>
        </w:rPr>
        <w:t xml:space="preserve">The configuration information for the SUL carrier includes a threshold. The UE selects that SUL carrier for initial access </w:t>
      </w:r>
      <w:r w:rsidRPr="0088769F">
        <w:rPr>
          <w:rFonts w:eastAsia="MS Mincho"/>
          <w:i/>
          <w:sz w:val="20"/>
          <w:szCs w:val="20"/>
          <w:highlight w:val="green"/>
          <w:lang w:eastAsia="ja-JP"/>
        </w:rPr>
        <w:t>if and only</w:t>
      </w:r>
      <w:r>
        <w:rPr>
          <w:rFonts w:eastAsia="MS Mincho"/>
          <w:i/>
          <w:sz w:val="20"/>
          <w:szCs w:val="20"/>
          <w:lang w:eastAsia="ja-JP"/>
        </w:rPr>
        <w:t xml:space="preserve"> if the RSRP measured by the UE on the DL carrier where the UE receives RMSI is lower than the threshold</w:t>
      </w:r>
      <w:r>
        <w:rPr>
          <w:sz w:val="20"/>
        </w:rPr>
        <w:t>”</w:t>
      </w:r>
      <w:r>
        <w:rPr>
          <w:rFonts w:hint="eastAsia"/>
          <w:sz w:val="20"/>
        </w:rPr>
        <w:t xml:space="preserve"> </w:t>
      </w:r>
      <w:r>
        <w:rPr>
          <w:sz w:val="20"/>
        </w:rPr>
        <w:t xml:space="preserve">in RAN1#90 meeting. </w:t>
      </w:r>
    </w:p>
    <w:p w:rsidR="00BE0996" w:rsidRDefault="0088769F" w:rsidP="001C288D">
      <w:pPr>
        <w:spacing w:after="120"/>
        <w:rPr>
          <w:sz w:val="20"/>
        </w:rPr>
      </w:pPr>
      <w:r>
        <w:rPr>
          <w:rFonts w:hint="eastAsia"/>
          <w:sz w:val="20"/>
        </w:rPr>
        <w:t xml:space="preserve">Our understanding is that if measured RSRP is lower than the broadcast threshold, then UE has to choose SUL carrier to initiate RACH procedure. </w:t>
      </w:r>
      <w:r>
        <w:rPr>
          <w:sz w:val="20"/>
        </w:rPr>
        <w:t>W</w:t>
      </w:r>
      <w:r>
        <w:rPr>
          <w:rFonts w:hint="eastAsia"/>
          <w:sz w:val="20"/>
        </w:rPr>
        <w:t xml:space="preserve">hen </w:t>
      </w:r>
      <w:r w:rsidR="00F671F1">
        <w:rPr>
          <w:rFonts w:hint="eastAsia"/>
          <w:sz w:val="20"/>
        </w:rPr>
        <w:t xml:space="preserve">the </w:t>
      </w:r>
      <w:r>
        <w:rPr>
          <w:rFonts w:hint="eastAsia"/>
          <w:sz w:val="20"/>
        </w:rPr>
        <w:t xml:space="preserve">measured RSRP is equal to or higher than threshold, then UE has to choose non-SUL UL carrier to initiate RACH procedure otherwise the condition for UE to select SUL carrier will be broken. </w:t>
      </w:r>
      <w:r w:rsidR="002A13B7">
        <w:rPr>
          <w:rFonts w:hint="eastAsia"/>
          <w:sz w:val="20"/>
        </w:rPr>
        <w:t xml:space="preserve">After uplink carrier is selected then the RACH procedure is initiated based on the parameters of the selected uplink carrier. </w:t>
      </w:r>
      <w:r>
        <w:rPr>
          <w:rFonts w:hint="eastAsia"/>
          <w:sz w:val="20"/>
        </w:rPr>
        <w:t>This could be depicted by following Figure:</w:t>
      </w:r>
    </w:p>
    <w:p w:rsidR="0088769F" w:rsidRDefault="00F671F1" w:rsidP="00531F45">
      <w:pPr>
        <w:spacing w:after="120"/>
        <w:jc w:val="center"/>
        <w:rPr>
          <w:sz w:val="20"/>
        </w:rPr>
      </w:pPr>
      <w:r w:rsidRPr="00F671F1">
        <w:rPr>
          <w:noProof/>
          <w:sz w:val="20"/>
        </w:rPr>
        <w:lastRenderedPageBreak/>
        <w:drawing>
          <wp:inline distT="0" distB="0" distL="0" distR="0">
            <wp:extent cx="4204607" cy="3205843"/>
            <wp:effectExtent l="19050" t="0" r="5443" b="0"/>
            <wp:docPr id="6"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20000" cy="6096000"/>
                      <a:chOff x="914400" y="76200"/>
                      <a:chExt cx="7620000" cy="6096000"/>
                    </a:xfrm>
                  </a:grpSpPr>
                  <a:sp>
                    <a:nvSpPr>
                      <a:cNvPr id="5" name="TextBox 4"/>
                      <a:cNvSpPr txBox="1"/>
                    </a:nvSpPr>
                    <a:spPr>
                      <a:xfrm>
                        <a:off x="6058722" y="76200"/>
                        <a:ext cx="1443152" cy="369332"/>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Receive RMSI</a:t>
                          </a:r>
                          <a:endParaRPr lang="en-US"/>
                        </a:p>
                      </a:txBody>
                      <a:useSpRect/>
                    </a:txSp>
                  </a:sp>
                  <a:sp>
                    <a:nvSpPr>
                      <a:cNvPr id="6" name="TextBox 5"/>
                      <a:cNvSpPr txBox="1"/>
                    </a:nvSpPr>
                    <a:spPr>
                      <a:xfrm>
                        <a:off x="5074286" y="990600"/>
                        <a:ext cx="341202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Is supplementary RA configuration</a:t>
                          </a:r>
                        </a:p>
                        <a:p>
                          <a:pPr algn="ctr"/>
                          <a:r>
                            <a:rPr lang="sv-SE" smtClean="0"/>
                            <a:t>available in RMSI?</a:t>
                          </a:r>
                          <a:endParaRPr lang="en-US"/>
                        </a:p>
                      </a:txBody>
                      <a:useSpRect/>
                    </a:txSp>
                  </a:sp>
                  <a:sp>
                    <a:nvSpPr>
                      <a:cNvPr id="7" name="TextBox 6"/>
                      <a:cNvSpPr txBox="1"/>
                    </a:nvSpPr>
                    <a:spPr>
                      <a:xfrm>
                        <a:off x="5506519" y="2401669"/>
                        <a:ext cx="2547557"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Does the UE support UL </a:t>
                          </a:r>
                        </a:p>
                        <a:p>
                          <a:pPr algn="ctr"/>
                          <a:r>
                            <a:rPr lang="sv-SE" smtClean="0"/>
                            <a:t>transmission on the SUL?</a:t>
                          </a:r>
                          <a:endParaRPr lang="en-US" smtClean="0"/>
                        </a:p>
                      </a:txBody>
                      <a:useSpRect/>
                    </a:txSp>
                  </a:sp>
                  <a:sp>
                    <a:nvSpPr>
                      <a:cNvPr id="8" name="TextBox 7"/>
                      <a:cNvSpPr txBox="1"/>
                    </a:nvSpPr>
                    <a:spPr>
                      <a:xfrm>
                        <a:off x="914400" y="5525869"/>
                        <a:ext cx="300133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Perform random access based</a:t>
                          </a:r>
                        </a:p>
                        <a:p>
                          <a:r>
                            <a:rPr lang="sv-SE" smtClean="0"/>
                            <a:t>on </a:t>
                          </a:r>
                          <a:r>
                            <a:rPr lang="sv-SE" smtClean="0"/>
                            <a:t>primary </a:t>
                          </a:r>
                          <a:r>
                            <a:rPr lang="sv-SE" smtClean="0"/>
                            <a:t>RA configuration</a:t>
                          </a:r>
                          <a:endParaRPr lang="en-US"/>
                        </a:p>
                      </a:txBody>
                      <a:useSpRect/>
                    </a:txSp>
                  </a:sp>
                  <a:sp>
                    <a:nvSpPr>
                      <a:cNvPr id="9" name="TextBox 8"/>
                      <a:cNvSpPr txBox="1"/>
                    </a:nvSpPr>
                    <a:spPr>
                      <a:xfrm>
                        <a:off x="5026196" y="5525869"/>
                        <a:ext cx="3508204" cy="646331"/>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Perform random access based</a:t>
                          </a:r>
                        </a:p>
                        <a:p>
                          <a:r>
                            <a:rPr lang="sv-SE" smtClean="0"/>
                            <a:t>on supplementary RA configuration</a:t>
                          </a:r>
                          <a:endParaRPr lang="en-US"/>
                        </a:p>
                      </a:txBody>
                      <a:useSpRect/>
                    </a:txSp>
                  </a:sp>
                  <a:cxnSp>
                    <a:nvCxnSpPr>
                      <a:cNvPr id="11" name="Straight Arrow Connector 10"/>
                      <a:cNvCxnSpPr>
                        <a:stCxn id="5" idx="2"/>
                        <a:endCxn id="6" idx="0"/>
                      </a:cNvCxnSpPr>
                    </a:nvCxnSpPr>
                    <a:spPr>
                      <a:xfrm>
                        <a:off x="6780298" y="445532"/>
                        <a:ext cx="0" cy="545068"/>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2" name="Straight Arrow Connector 11"/>
                      <a:cNvCxnSpPr>
                        <a:stCxn id="6" idx="2"/>
                        <a:endCxn id="7" idx="0"/>
                      </a:cNvCxnSpPr>
                    </a:nvCxnSpPr>
                    <a:spPr>
                      <a:xfrm>
                        <a:off x="6780298" y="1636931"/>
                        <a:ext cx="0" cy="764738"/>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stCxn id="7" idx="2"/>
                        <a:endCxn id="17" idx="0"/>
                      </a:cNvCxnSpPr>
                    </a:nvCxnSpPr>
                    <a:spPr>
                      <a:xfrm>
                        <a:off x="6780298" y="3048000"/>
                        <a:ext cx="0" cy="82927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endCxn id="8" idx="0"/>
                      </a:cNvCxnSpPr>
                    </a:nvCxnSpPr>
                    <a:spPr>
                      <a:xfrm flipH="1">
                        <a:off x="2415067" y="1295400"/>
                        <a:ext cx="23333" cy="4230469"/>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1" name="Straight Arrow Connector 20"/>
                      <a:cNvCxnSpPr>
                        <a:stCxn id="6" idx="1"/>
                      </a:cNvCxnSpPr>
                    </a:nvCxnSpPr>
                    <a:spPr>
                      <a:xfrm flipH="1" flipV="1">
                        <a:off x="2438400" y="1295400"/>
                        <a:ext cx="2635886" cy="18366"/>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stCxn id="7" idx="1"/>
                      </a:cNvCxnSpPr>
                    </a:nvCxnSpPr>
                    <a:spPr>
                      <a:xfrm flipH="1">
                        <a:off x="2438400" y="2724835"/>
                        <a:ext cx="3068119" cy="18365"/>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6781800" y="1840468"/>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a:sp>
                    <a:nvSpPr>
                      <a:cNvPr id="31" name="TextBox 30"/>
                      <a:cNvSpPr txBox="1"/>
                    </a:nvSpPr>
                    <a:spPr>
                      <a:xfrm>
                        <a:off x="6781800" y="3200400"/>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a:sp>
                    <a:nvSpPr>
                      <a:cNvPr id="32" name="TextBox 31"/>
                      <a:cNvSpPr txBox="1"/>
                    </a:nvSpPr>
                    <a:spPr>
                      <a:xfrm>
                        <a:off x="4191000" y="914400"/>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33" name="TextBox 32"/>
                      <a:cNvSpPr txBox="1"/>
                    </a:nvSpPr>
                    <a:spPr>
                      <a:xfrm>
                        <a:off x="4191000" y="2373868"/>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17" name="TextBox 16"/>
                      <a:cNvSpPr txBox="1"/>
                    </a:nvSpPr>
                    <a:spPr>
                      <a:xfrm>
                        <a:off x="5218973" y="3877270"/>
                        <a:ext cx="3122650" cy="369332"/>
                      </a:xfrm>
                      <a:prstGeom prst="rect">
                        <a:avLst/>
                      </a:prstGeom>
                      <a:noFill/>
                      <a:ln>
                        <a:solidFill>
                          <a:schemeClr val="tx1"/>
                        </a:solidFill>
                      </a:ln>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mtClean="0"/>
                            <a:t>Is RSRP below RSRP threshold </a:t>
                          </a:r>
                          <a:r>
                            <a:rPr lang="sv-SE" smtClean="0"/>
                            <a:t>?</a:t>
                          </a:r>
                          <a:endParaRPr lang="sv-SE" smtClean="0"/>
                        </a:p>
                      </a:txBody>
                      <a:useSpRect/>
                    </a:txSp>
                  </a:sp>
                  <a:cxnSp>
                    <a:nvCxnSpPr>
                      <a:cNvPr id="20" name="Straight Arrow Connector 19"/>
                      <a:cNvCxnSpPr>
                        <a:stCxn id="17" idx="2"/>
                        <a:endCxn id="9" idx="0"/>
                      </a:cNvCxnSpPr>
                    </a:nvCxnSpPr>
                    <a:spPr>
                      <a:xfrm>
                        <a:off x="6780298" y="4246602"/>
                        <a:ext cx="0" cy="1279267"/>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stCxn id="17" idx="1"/>
                      </a:cNvCxnSpPr>
                    </a:nvCxnSpPr>
                    <a:spPr>
                      <a:xfrm flipH="1" flipV="1">
                        <a:off x="2438400" y="4038600"/>
                        <a:ext cx="2780573" cy="23336"/>
                      </a:xfrm>
                      <a:prstGeom prst="straightConnector1">
                        <a:avLst/>
                      </a:prstGeom>
                      <a:ln>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4191000" y="4038600"/>
                        <a:ext cx="45557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No</a:t>
                          </a:r>
                          <a:endParaRPr lang="en-US"/>
                        </a:p>
                      </a:txBody>
                      <a:useSpRect/>
                    </a:txSp>
                  </a:sp>
                  <a:sp>
                    <a:nvSpPr>
                      <a:cNvPr id="38" name="TextBox 37"/>
                      <a:cNvSpPr txBox="1"/>
                    </a:nvSpPr>
                    <a:spPr>
                      <a:xfrm>
                        <a:off x="6781800" y="4953000"/>
                        <a:ext cx="4855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Yes</a:t>
                          </a:r>
                          <a:endParaRPr lang="en-US"/>
                        </a:p>
                      </a:txBody>
                      <a:useSpRect/>
                    </a:txSp>
                  </a:sp>
                </lc:lockedCanvas>
              </a:graphicData>
            </a:graphic>
          </wp:inline>
        </w:drawing>
      </w:r>
    </w:p>
    <w:p w:rsidR="00EB0354" w:rsidRDefault="00EB0354" w:rsidP="00531F45">
      <w:pPr>
        <w:spacing w:after="120"/>
        <w:jc w:val="center"/>
        <w:rPr>
          <w:sz w:val="20"/>
        </w:rPr>
      </w:pPr>
      <w:r>
        <w:rPr>
          <w:rFonts w:hint="eastAsia"/>
          <w:sz w:val="20"/>
        </w:rPr>
        <w:t>Figure 2</w:t>
      </w:r>
    </w:p>
    <w:p w:rsidR="0088769F" w:rsidRDefault="0088769F" w:rsidP="001C288D">
      <w:pPr>
        <w:spacing w:after="120"/>
        <w:rPr>
          <w:b/>
          <w:sz w:val="20"/>
        </w:rPr>
      </w:pPr>
      <w:r w:rsidRPr="00FF6AAA">
        <w:rPr>
          <w:b/>
          <w:sz w:val="20"/>
        </w:rPr>
        <w:t>P</w:t>
      </w:r>
      <w:r w:rsidRPr="00FF6AAA">
        <w:rPr>
          <w:rFonts w:hint="eastAsia"/>
          <w:b/>
          <w:sz w:val="20"/>
        </w:rPr>
        <w:t xml:space="preserve">roposal1: </w:t>
      </w:r>
      <w:r w:rsidR="003F3394" w:rsidRPr="00FF6AAA">
        <w:rPr>
          <w:rFonts w:hint="eastAsia"/>
          <w:b/>
          <w:sz w:val="20"/>
        </w:rPr>
        <w:t>UE select SUL carrier only when measured RSRP is lower than threshold.</w:t>
      </w:r>
    </w:p>
    <w:p w:rsidR="002A13B7" w:rsidRPr="00FF6AAA" w:rsidRDefault="002A13B7" w:rsidP="001C288D">
      <w:pPr>
        <w:spacing w:after="120"/>
        <w:rPr>
          <w:b/>
          <w:sz w:val="20"/>
        </w:rPr>
      </w:pPr>
      <w:r>
        <w:rPr>
          <w:rFonts w:hint="eastAsia"/>
          <w:b/>
          <w:sz w:val="20"/>
        </w:rPr>
        <w:t>Proposal1a: The selection of uplink carrier occurs before the initi</w:t>
      </w:r>
      <w:r w:rsidR="000F4FDB">
        <w:rPr>
          <w:rFonts w:hint="eastAsia"/>
          <w:b/>
          <w:sz w:val="20"/>
        </w:rPr>
        <w:t>ation of the RACH procedure</w:t>
      </w:r>
    </w:p>
    <w:p w:rsidR="00FF5ECD" w:rsidRDefault="00D501C9" w:rsidP="001D45D9">
      <w:pPr>
        <w:spacing w:after="120"/>
        <w:rPr>
          <w:sz w:val="20"/>
          <w:lang w:val="en-GB"/>
        </w:rPr>
      </w:pPr>
      <w:r>
        <w:rPr>
          <w:rFonts w:hint="eastAsia"/>
          <w:sz w:val="20"/>
          <w:lang w:val="en-GB"/>
        </w:rPr>
        <w:t xml:space="preserve">In section 9.2.6 following triggers for RACH procedure are </w:t>
      </w:r>
      <w:r>
        <w:rPr>
          <w:sz w:val="20"/>
          <w:lang w:val="en-GB"/>
        </w:rPr>
        <w:t>captured</w:t>
      </w:r>
      <w:r>
        <w:rPr>
          <w:rFonts w:hint="eastAsia"/>
          <w:sz w:val="20"/>
          <w:lang w:val="en-GB"/>
        </w:rPr>
        <w:t xml:space="preserve"> as following:</w:t>
      </w:r>
    </w:p>
    <w:p w:rsidR="00D501C9" w:rsidRPr="00393255" w:rsidRDefault="00D501C9" w:rsidP="00334491">
      <w:pPr>
        <w:pStyle w:val="B1"/>
        <w:spacing w:after="0"/>
        <w:rPr>
          <w:i/>
        </w:rPr>
      </w:pPr>
      <w:r w:rsidRPr="00393255">
        <w:rPr>
          <w:i/>
        </w:rPr>
        <w:t>-</w:t>
      </w:r>
      <w:r w:rsidRPr="00393255">
        <w:rPr>
          <w:i/>
        </w:rPr>
        <w:tab/>
        <w:t>Initial access from RRC_IDLE;</w:t>
      </w:r>
    </w:p>
    <w:p w:rsidR="00D501C9" w:rsidRPr="00393255" w:rsidRDefault="00D501C9" w:rsidP="00334491">
      <w:pPr>
        <w:pStyle w:val="B1"/>
        <w:spacing w:after="0"/>
        <w:rPr>
          <w:i/>
        </w:rPr>
      </w:pPr>
      <w:r w:rsidRPr="00393255">
        <w:rPr>
          <w:i/>
        </w:rPr>
        <w:t>-</w:t>
      </w:r>
      <w:r w:rsidRPr="00393255">
        <w:rPr>
          <w:i/>
        </w:rPr>
        <w:tab/>
      </w:r>
      <w:r w:rsidRPr="00393255">
        <w:rPr>
          <w:i/>
          <w:lang w:eastAsia="zh-CN"/>
        </w:rPr>
        <w:t>RRC Connection Re-establishment procedure</w:t>
      </w:r>
      <w:r w:rsidRPr="00393255">
        <w:rPr>
          <w:rFonts w:eastAsia="宋体"/>
          <w:i/>
          <w:lang w:eastAsia="zh-CN"/>
        </w:rPr>
        <w:t>;</w:t>
      </w:r>
    </w:p>
    <w:p w:rsidR="00D501C9" w:rsidRPr="00393255" w:rsidRDefault="00D501C9" w:rsidP="00334491">
      <w:pPr>
        <w:pStyle w:val="B1"/>
        <w:spacing w:after="0"/>
        <w:rPr>
          <w:i/>
        </w:rPr>
      </w:pPr>
      <w:r w:rsidRPr="00393255">
        <w:rPr>
          <w:i/>
          <w:highlight w:val="yellow"/>
        </w:rPr>
        <w:t>-</w:t>
      </w:r>
      <w:r w:rsidRPr="00393255">
        <w:rPr>
          <w:i/>
          <w:highlight w:val="yellow"/>
        </w:rPr>
        <w:tab/>
        <w:t>Handover;</w:t>
      </w:r>
    </w:p>
    <w:p w:rsidR="00AE0656" w:rsidRPr="00393255" w:rsidRDefault="00D501C9" w:rsidP="00334491">
      <w:pPr>
        <w:pStyle w:val="B1"/>
        <w:spacing w:after="0"/>
        <w:rPr>
          <w:i/>
          <w:lang w:eastAsia="zh-CN"/>
        </w:rPr>
      </w:pPr>
      <w:r w:rsidRPr="00393255">
        <w:rPr>
          <w:i/>
          <w:highlight w:val="yellow"/>
        </w:rPr>
        <w:t>-</w:t>
      </w:r>
      <w:r w:rsidRPr="00393255">
        <w:rPr>
          <w:i/>
          <w:highlight w:val="yellow"/>
        </w:rPr>
        <w:tab/>
        <w:t xml:space="preserve">DL </w:t>
      </w:r>
      <w:r w:rsidR="00AE0656" w:rsidRPr="00393255">
        <w:rPr>
          <w:i/>
          <w:highlight w:val="yellow"/>
        </w:rPr>
        <w:t>data arrival during RRC_CONNECTED when UL synchronisation status is "non-synchronised"</w:t>
      </w:r>
    </w:p>
    <w:p w:rsidR="00D501C9" w:rsidRPr="00393255" w:rsidRDefault="00AE0656" w:rsidP="00334491">
      <w:pPr>
        <w:pStyle w:val="B1"/>
        <w:spacing w:after="0"/>
        <w:rPr>
          <w:i/>
        </w:rPr>
      </w:pPr>
      <w:r w:rsidRPr="00393255">
        <w:rPr>
          <w:rFonts w:hint="eastAsia"/>
          <w:i/>
          <w:lang w:eastAsia="zh-CN"/>
        </w:rPr>
        <w:t xml:space="preserve">-  </w:t>
      </w:r>
      <w:r w:rsidR="00D501C9" w:rsidRPr="00393255">
        <w:rPr>
          <w:i/>
        </w:rPr>
        <w:t>UL data arrival during RRC_CONNECTED when UL synchronisation status is "non-synchronised";</w:t>
      </w:r>
    </w:p>
    <w:p w:rsidR="00D501C9" w:rsidRPr="00393255" w:rsidRDefault="00D501C9" w:rsidP="00334491">
      <w:pPr>
        <w:pStyle w:val="B1"/>
        <w:spacing w:after="0"/>
        <w:rPr>
          <w:i/>
        </w:rPr>
      </w:pPr>
      <w:r w:rsidRPr="00393255">
        <w:rPr>
          <w:i/>
        </w:rPr>
        <w:t>-</w:t>
      </w:r>
      <w:r w:rsidRPr="00393255">
        <w:rPr>
          <w:i/>
        </w:rPr>
        <w:tab/>
        <w:t>Transition from RRC_INACTIVE;</w:t>
      </w:r>
    </w:p>
    <w:p w:rsidR="00D501C9" w:rsidRPr="00393255" w:rsidRDefault="00D501C9" w:rsidP="00334491">
      <w:pPr>
        <w:pStyle w:val="B1"/>
        <w:spacing w:after="0"/>
        <w:rPr>
          <w:i/>
          <w:lang w:eastAsia="zh-CN"/>
        </w:rPr>
      </w:pPr>
      <w:r w:rsidRPr="00393255">
        <w:rPr>
          <w:i/>
        </w:rPr>
        <w:t>-</w:t>
      </w:r>
      <w:r w:rsidRPr="00393255">
        <w:rPr>
          <w:i/>
        </w:rPr>
        <w:tab/>
        <w:t>Request for Other SI (see subclause 7.3).</w:t>
      </w:r>
    </w:p>
    <w:p w:rsidR="005B4489" w:rsidRPr="00393255" w:rsidRDefault="005B4489" w:rsidP="00334491">
      <w:pPr>
        <w:pStyle w:val="B1"/>
        <w:spacing w:after="0"/>
        <w:rPr>
          <w:i/>
          <w:lang w:eastAsia="zh-CN"/>
        </w:rPr>
      </w:pPr>
      <w:r w:rsidRPr="00393255">
        <w:rPr>
          <w:rFonts w:hint="eastAsia"/>
          <w:i/>
          <w:highlight w:val="yellow"/>
          <w:lang w:eastAsia="zh-CN"/>
        </w:rPr>
        <w:t>-</w:t>
      </w:r>
      <w:r w:rsidRPr="00393255">
        <w:rPr>
          <w:rFonts w:hint="eastAsia"/>
          <w:i/>
          <w:highlight w:val="yellow"/>
          <w:lang w:eastAsia="zh-CN"/>
        </w:rPr>
        <w:tab/>
      </w:r>
      <w:r w:rsidRPr="00393255">
        <w:rPr>
          <w:rFonts w:hint="eastAsia"/>
          <w:i/>
          <w:highlight w:val="yellow"/>
        </w:rPr>
        <w:t>SgNB change</w:t>
      </w:r>
      <w:r w:rsidRPr="00393255">
        <w:rPr>
          <w:rFonts w:hint="eastAsia"/>
          <w:i/>
          <w:highlight w:val="yellow"/>
          <w:lang w:eastAsia="zh-CN"/>
        </w:rPr>
        <w:t xml:space="preserve"> (not captured yet)</w:t>
      </w:r>
    </w:p>
    <w:p w:rsidR="006D73EC" w:rsidRDefault="006D73EC" w:rsidP="001D45D9">
      <w:pPr>
        <w:spacing w:after="120"/>
        <w:rPr>
          <w:sz w:val="20"/>
        </w:rPr>
      </w:pPr>
      <w:r>
        <w:rPr>
          <w:rFonts w:hint="eastAsia"/>
          <w:sz w:val="20"/>
        </w:rPr>
        <w:t xml:space="preserve">These </w:t>
      </w:r>
      <w:r w:rsidR="00F53D42">
        <w:rPr>
          <w:rFonts w:hint="eastAsia"/>
          <w:sz w:val="20"/>
        </w:rPr>
        <w:t>triggers</w:t>
      </w:r>
      <w:r>
        <w:rPr>
          <w:rFonts w:hint="eastAsia"/>
          <w:sz w:val="20"/>
        </w:rPr>
        <w:t xml:space="preserve"> could be categorized into two cases:</w:t>
      </w:r>
    </w:p>
    <w:p w:rsidR="0071362B" w:rsidRDefault="006D73EC" w:rsidP="001D45D9">
      <w:pPr>
        <w:spacing w:after="120"/>
        <w:rPr>
          <w:sz w:val="20"/>
        </w:rPr>
      </w:pPr>
      <w:r>
        <w:rPr>
          <w:sz w:val="20"/>
        </w:rPr>
        <w:t>C</w:t>
      </w:r>
      <w:r>
        <w:rPr>
          <w:rFonts w:hint="eastAsia"/>
          <w:sz w:val="20"/>
        </w:rPr>
        <w:t>ategory1: RACH is triggered by UE itself including event 1/2/5/6</w:t>
      </w:r>
      <w:r w:rsidR="007C06DB">
        <w:rPr>
          <w:rFonts w:hint="eastAsia"/>
          <w:sz w:val="20"/>
        </w:rPr>
        <w:t>/7</w:t>
      </w:r>
    </w:p>
    <w:p w:rsidR="006D73EC" w:rsidRDefault="006D73EC" w:rsidP="001D45D9">
      <w:pPr>
        <w:spacing w:after="120"/>
        <w:rPr>
          <w:sz w:val="20"/>
        </w:rPr>
      </w:pPr>
      <w:r>
        <w:rPr>
          <w:sz w:val="20"/>
        </w:rPr>
        <w:t>C</w:t>
      </w:r>
      <w:r>
        <w:rPr>
          <w:rFonts w:hint="eastAsia"/>
          <w:sz w:val="20"/>
        </w:rPr>
        <w:t>ategory2: RACH procedure is triggered by network including event 3/4</w:t>
      </w:r>
      <w:r w:rsidR="005B4489">
        <w:rPr>
          <w:rFonts w:hint="eastAsia"/>
          <w:sz w:val="20"/>
        </w:rPr>
        <w:t>/8</w:t>
      </w:r>
    </w:p>
    <w:p w:rsidR="005B4489" w:rsidRDefault="005B4489" w:rsidP="001D45D9">
      <w:pPr>
        <w:spacing w:after="120"/>
        <w:rPr>
          <w:sz w:val="20"/>
        </w:rPr>
      </w:pPr>
      <w:r>
        <w:rPr>
          <w:sz w:val="20"/>
        </w:rPr>
        <w:t>F</w:t>
      </w:r>
      <w:r>
        <w:rPr>
          <w:rFonts w:hint="eastAsia"/>
          <w:sz w:val="20"/>
        </w:rPr>
        <w:t xml:space="preserve">or </w:t>
      </w:r>
      <w:r w:rsidR="00F53D42">
        <w:rPr>
          <w:rFonts w:hint="eastAsia"/>
          <w:sz w:val="20"/>
        </w:rPr>
        <w:t xml:space="preserve">category1 RACH </w:t>
      </w:r>
      <w:r w:rsidR="00F53D42">
        <w:rPr>
          <w:sz w:val="20"/>
        </w:rPr>
        <w:t>procedure</w:t>
      </w:r>
      <w:r w:rsidR="00F53D42">
        <w:rPr>
          <w:rFonts w:hint="eastAsia"/>
          <w:sz w:val="20"/>
        </w:rPr>
        <w:t xml:space="preserve"> UE already acquired at least MIB and RMSI i.e. UE already has knowledge about the configuration of SUL in RMSI. RAN1 agreed that UE select SUL carrier or non-SUL carrier based on RSRP threshold by considering UE</w:t>
      </w:r>
      <w:r w:rsidR="00F53D42">
        <w:rPr>
          <w:sz w:val="20"/>
        </w:rPr>
        <w:t>’</w:t>
      </w:r>
      <w:r w:rsidR="00F53D42">
        <w:rPr>
          <w:rFonts w:hint="eastAsia"/>
          <w:sz w:val="20"/>
        </w:rPr>
        <w:t>s geometry aspects. And it seems no particular reason why it can</w:t>
      </w:r>
      <w:r w:rsidR="00F53D42">
        <w:rPr>
          <w:sz w:val="20"/>
        </w:rPr>
        <w:t>’</w:t>
      </w:r>
      <w:r w:rsidR="00F53D42">
        <w:rPr>
          <w:rFonts w:hint="eastAsia"/>
          <w:sz w:val="20"/>
        </w:rPr>
        <w:t>t be applied for other cases in catrgory1.</w:t>
      </w:r>
    </w:p>
    <w:p w:rsidR="00F53D42" w:rsidRPr="00760D10" w:rsidRDefault="00F53D42" w:rsidP="001D45D9">
      <w:pPr>
        <w:spacing w:after="120"/>
        <w:rPr>
          <w:b/>
          <w:sz w:val="20"/>
        </w:rPr>
      </w:pPr>
      <w:r w:rsidRPr="00760D10">
        <w:rPr>
          <w:b/>
          <w:sz w:val="20"/>
        </w:rPr>
        <w:t>P</w:t>
      </w:r>
      <w:r w:rsidRPr="00760D10">
        <w:rPr>
          <w:rFonts w:hint="eastAsia"/>
          <w:b/>
          <w:sz w:val="20"/>
        </w:rPr>
        <w:t>roposal</w:t>
      </w:r>
      <w:r w:rsidR="00760D10" w:rsidRPr="00760D10">
        <w:rPr>
          <w:rFonts w:hint="eastAsia"/>
          <w:b/>
          <w:sz w:val="20"/>
        </w:rPr>
        <w:t>2</w:t>
      </w:r>
      <w:r w:rsidRPr="00760D10">
        <w:rPr>
          <w:rFonts w:hint="eastAsia"/>
          <w:b/>
          <w:sz w:val="20"/>
        </w:rPr>
        <w:t>: for triggers 1/2/5/6</w:t>
      </w:r>
      <w:r w:rsidR="00466FF6" w:rsidRPr="00760D10">
        <w:rPr>
          <w:rFonts w:hint="eastAsia"/>
          <w:b/>
          <w:sz w:val="20"/>
        </w:rPr>
        <w:t>/7</w:t>
      </w:r>
      <w:r w:rsidRPr="00760D10">
        <w:rPr>
          <w:rFonts w:hint="eastAsia"/>
          <w:b/>
          <w:sz w:val="20"/>
        </w:rPr>
        <w:t xml:space="preserve"> listed above, UE select SUL or non-SUL carrier based on same RSRP threshold</w:t>
      </w:r>
      <w:r w:rsidR="00466FF6" w:rsidRPr="00760D10">
        <w:rPr>
          <w:rFonts w:hint="eastAsia"/>
          <w:b/>
          <w:sz w:val="20"/>
        </w:rPr>
        <w:t xml:space="preserve"> </w:t>
      </w:r>
      <w:r w:rsidR="00FD157F" w:rsidRPr="00760D10">
        <w:rPr>
          <w:rFonts w:hint="eastAsia"/>
          <w:b/>
          <w:sz w:val="20"/>
        </w:rPr>
        <w:t xml:space="preserve">for </w:t>
      </w:r>
      <w:r w:rsidR="00466FF6" w:rsidRPr="00760D10">
        <w:rPr>
          <w:rFonts w:hint="eastAsia"/>
          <w:b/>
          <w:sz w:val="20"/>
        </w:rPr>
        <w:t>RACH procedure</w:t>
      </w:r>
    </w:p>
    <w:p w:rsidR="00735A3D" w:rsidRDefault="002257C7" w:rsidP="001D45D9">
      <w:pPr>
        <w:spacing w:after="120"/>
        <w:rPr>
          <w:sz w:val="20"/>
        </w:rPr>
      </w:pPr>
      <w:r>
        <w:rPr>
          <w:sz w:val="20"/>
        </w:rPr>
        <w:t>F</w:t>
      </w:r>
      <w:r>
        <w:rPr>
          <w:rFonts w:hint="eastAsia"/>
          <w:sz w:val="20"/>
        </w:rPr>
        <w:t xml:space="preserve">or category2 we discuss one by one. For handover case, some measurement result will be forwarded </w:t>
      </w:r>
      <w:r>
        <w:rPr>
          <w:rFonts w:hint="eastAsia"/>
          <w:sz w:val="20"/>
        </w:rPr>
        <w:lastRenderedPageBreak/>
        <w:t>from source node to target gNB. Those</w:t>
      </w:r>
      <w:r w:rsidR="0089623A">
        <w:rPr>
          <w:rFonts w:hint="eastAsia"/>
          <w:sz w:val="20"/>
        </w:rPr>
        <w:t xml:space="preserve"> measurement results reflect the current radio link condition of the cell configured with SUL. Target gNB can take these measurement result</w:t>
      </w:r>
      <w:r w:rsidR="00FF3ED1">
        <w:rPr>
          <w:rFonts w:hint="eastAsia"/>
          <w:sz w:val="20"/>
        </w:rPr>
        <w:t>s</w:t>
      </w:r>
      <w:r w:rsidR="0089623A">
        <w:rPr>
          <w:rFonts w:hint="eastAsia"/>
          <w:sz w:val="20"/>
        </w:rPr>
        <w:t xml:space="preserve"> into account to decide on the target cell within </w:t>
      </w:r>
      <w:r w:rsidR="00FF3ED1">
        <w:rPr>
          <w:rFonts w:hint="eastAsia"/>
          <w:sz w:val="20"/>
        </w:rPr>
        <w:t xml:space="preserve">gNB. gNB can reuse these measurement result to decide </w:t>
      </w:r>
      <w:r w:rsidR="00FF3ED1">
        <w:rPr>
          <w:sz w:val="20"/>
        </w:rPr>
        <w:t>whether</w:t>
      </w:r>
      <w:r w:rsidR="00FF3ED1">
        <w:rPr>
          <w:rFonts w:hint="eastAsia"/>
          <w:sz w:val="20"/>
        </w:rPr>
        <w:t xml:space="preserve"> SUL carrier or non-SUL carrier for initial access in case cell with SUL carrier is target cell.</w:t>
      </w:r>
      <w:r w:rsidR="00735A3D">
        <w:rPr>
          <w:rFonts w:hint="eastAsia"/>
          <w:sz w:val="20"/>
        </w:rPr>
        <w:t xml:space="preserve"> If gNB decide to go for </w:t>
      </w:r>
      <w:r w:rsidR="006E27AC">
        <w:rPr>
          <w:rFonts w:hint="eastAsia"/>
          <w:sz w:val="20"/>
        </w:rPr>
        <w:t xml:space="preserve">non </w:t>
      </w:r>
      <w:r w:rsidR="00735A3D">
        <w:rPr>
          <w:rFonts w:hint="eastAsia"/>
          <w:sz w:val="20"/>
        </w:rPr>
        <w:t>SUL carrier once measured RSRP is higher than threshold, then RACH procedure might fail if UE moves away from gNB when RACH procedure is triggered. But gNB could take such risk into account e.g. by having a threshold with few dbs more. In addition handover procedure suppose</w:t>
      </w:r>
      <w:r w:rsidR="009C71C4">
        <w:rPr>
          <w:rFonts w:hint="eastAsia"/>
          <w:sz w:val="20"/>
        </w:rPr>
        <w:t>s</w:t>
      </w:r>
      <w:r w:rsidR="00735A3D">
        <w:rPr>
          <w:rFonts w:hint="eastAsia"/>
          <w:sz w:val="20"/>
        </w:rPr>
        <w:t xml:space="preserve"> to be quick. That</w:t>
      </w:r>
      <w:r w:rsidR="00735A3D">
        <w:rPr>
          <w:sz w:val="20"/>
        </w:rPr>
        <w:t>’</w:t>
      </w:r>
      <w:r w:rsidR="00735A3D">
        <w:rPr>
          <w:rFonts w:hint="eastAsia"/>
          <w:sz w:val="20"/>
        </w:rPr>
        <w:t xml:space="preserve">s why RACH failure due to mobility of UE is kind of corner case. If UE is detected as fast moving UE, then gNB can always select SUL carrier for initial access. SgNB change procedure would be very similar to handover procedure. The difference is that measurement configuration and report could be triggered by </w:t>
      </w:r>
      <w:r w:rsidR="009C71C4">
        <w:rPr>
          <w:rFonts w:hint="eastAsia"/>
          <w:sz w:val="20"/>
        </w:rPr>
        <w:t>SgNB</w:t>
      </w:r>
      <w:r w:rsidR="00735A3D">
        <w:rPr>
          <w:rFonts w:hint="eastAsia"/>
          <w:sz w:val="20"/>
        </w:rPr>
        <w:t>. In this case measurement result is sent to SgNB via SRB3.</w:t>
      </w:r>
    </w:p>
    <w:p w:rsidR="00AE0656" w:rsidRDefault="00466FF6" w:rsidP="001D45D9">
      <w:pPr>
        <w:spacing w:after="120"/>
        <w:rPr>
          <w:sz w:val="20"/>
        </w:rPr>
      </w:pPr>
      <w:r>
        <w:rPr>
          <w:rFonts w:hint="eastAsia"/>
          <w:sz w:val="20"/>
        </w:rPr>
        <w:t xml:space="preserve">For DL data arrival, a PDCCH order will be sent to UE to trigger RACH procedure. This case is quite different from handover or SgNB change because UE is out of uplink synchronization. Before RACH procedure is triggered there is no any </w:t>
      </w:r>
      <w:r>
        <w:rPr>
          <w:sz w:val="20"/>
        </w:rPr>
        <w:t>measurement</w:t>
      </w:r>
      <w:r>
        <w:rPr>
          <w:rFonts w:hint="eastAsia"/>
          <w:sz w:val="20"/>
        </w:rPr>
        <w:t xml:space="preserve"> result could </w:t>
      </w:r>
      <w:r w:rsidR="00EB0354">
        <w:rPr>
          <w:rFonts w:hint="eastAsia"/>
          <w:sz w:val="20"/>
        </w:rPr>
        <w:t>help</w:t>
      </w:r>
      <w:r>
        <w:rPr>
          <w:rFonts w:hint="eastAsia"/>
          <w:sz w:val="20"/>
        </w:rPr>
        <w:t xml:space="preserve"> for network to make a sensible decision. It seems natural that UE is allowed to select either SUL carrier or non-SUL carrier if </w:t>
      </w:r>
      <w:r>
        <w:rPr>
          <w:sz w:val="20"/>
        </w:rPr>
        <w:t>contention</w:t>
      </w:r>
      <w:r>
        <w:rPr>
          <w:rFonts w:hint="eastAsia"/>
          <w:sz w:val="20"/>
        </w:rPr>
        <w:t>-based RACH procedure is intended. For contention-free RACH procedure network need decide on resource detail. One way is to always rely on SUL carrier to keep UE in safe side.</w:t>
      </w:r>
    </w:p>
    <w:p w:rsidR="00466FF6" w:rsidRPr="00760D10" w:rsidRDefault="00466FF6" w:rsidP="001D45D9">
      <w:pPr>
        <w:spacing w:after="120"/>
        <w:rPr>
          <w:b/>
          <w:sz w:val="20"/>
        </w:rPr>
      </w:pPr>
      <w:r w:rsidRPr="00760D10">
        <w:rPr>
          <w:b/>
          <w:sz w:val="20"/>
        </w:rPr>
        <w:t>P</w:t>
      </w:r>
      <w:r w:rsidRPr="00760D10">
        <w:rPr>
          <w:rFonts w:hint="eastAsia"/>
          <w:b/>
          <w:sz w:val="20"/>
        </w:rPr>
        <w:t>roposal</w:t>
      </w:r>
      <w:r w:rsidR="00760D10" w:rsidRPr="00760D10">
        <w:rPr>
          <w:rFonts w:hint="eastAsia"/>
          <w:b/>
          <w:sz w:val="20"/>
        </w:rPr>
        <w:t>3</w:t>
      </w:r>
      <w:r w:rsidRPr="00760D10">
        <w:rPr>
          <w:rFonts w:hint="eastAsia"/>
          <w:b/>
          <w:sz w:val="20"/>
        </w:rPr>
        <w:t>: for handover, SgNB change or DL data arrival to trigger contention-free RACH procedure, it is up to network</w:t>
      </w:r>
      <w:r w:rsidRPr="00760D10">
        <w:rPr>
          <w:b/>
          <w:sz w:val="20"/>
        </w:rPr>
        <w:t>’</w:t>
      </w:r>
      <w:r w:rsidRPr="00760D10">
        <w:rPr>
          <w:rFonts w:hint="eastAsia"/>
          <w:b/>
          <w:sz w:val="20"/>
        </w:rPr>
        <w:t xml:space="preserve">s </w:t>
      </w:r>
      <w:r w:rsidRPr="00760D10">
        <w:rPr>
          <w:b/>
          <w:sz w:val="20"/>
        </w:rPr>
        <w:t>implementation</w:t>
      </w:r>
      <w:r w:rsidRPr="00760D10">
        <w:rPr>
          <w:rFonts w:hint="eastAsia"/>
          <w:b/>
          <w:sz w:val="20"/>
        </w:rPr>
        <w:t xml:space="preserve"> to decide which carrier is used for RACH procedure</w:t>
      </w:r>
    </w:p>
    <w:p w:rsidR="00466FF6" w:rsidRPr="00760D10" w:rsidRDefault="00466FF6" w:rsidP="001D45D9">
      <w:pPr>
        <w:spacing w:after="120"/>
        <w:rPr>
          <w:b/>
          <w:sz w:val="20"/>
        </w:rPr>
      </w:pPr>
      <w:r w:rsidRPr="00760D10">
        <w:rPr>
          <w:b/>
          <w:sz w:val="20"/>
        </w:rPr>
        <w:t>P</w:t>
      </w:r>
      <w:r w:rsidRPr="00760D10">
        <w:rPr>
          <w:rFonts w:hint="eastAsia"/>
          <w:b/>
          <w:sz w:val="20"/>
        </w:rPr>
        <w:t>roposal</w:t>
      </w:r>
      <w:r w:rsidR="00760D10" w:rsidRPr="00760D10">
        <w:rPr>
          <w:rFonts w:hint="eastAsia"/>
          <w:b/>
          <w:sz w:val="20"/>
        </w:rPr>
        <w:t>4</w:t>
      </w:r>
      <w:r w:rsidRPr="00760D10">
        <w:rPr>
          <w:rFonts w:hint="eastAsia"/>
          <w:b/>
          <w:sz w:val="20"/>
        </w:rPr>
        <w:t>: for DL data arrival to trigger contention-based RACH procedure</w:t>
      </w:r>
      <w:r w:rsidR="00EB4132" w:rsidRPr="00760D10">
        <w:rPr>
          <w:rFonts w:hint="eastAsia"/>
          <w:b/>
          <w:sz w:val="20"/>
        </w:rPr>
        <w:t>, UE select SUL or non-SUL carrier based on same RSRP threshold for RACH procedure</w:t>
      </w:r>
    </w:p>
    <w:p w:rsidR="00C65808" w:rsidRDefault="00C65808" w:rsidP="00C65808">
      <w:pPr>
        <w:spacing w:after="120"/>
        <w:rPr>
          <w:sz w:val="20"/>
        </w:rPr>
      </w:pPr>
      <w:r>
        <w:rPr>
          <w:rFonts w:hint="eastAsia"/>
          <w:sz w:val="20"/>
        </w:rPr>
        <w:t>RACH procedure for initial access could be contention-based RACH procedure i.e. 4 steps RACH procedure. The used channels are illustrated in following Figure2:</w:t>
      </w:r>
    </w:p>
    <w:p w:rsidR="00C65808" w:rsidRDefault="00C65808" w:rsidP="00C65808">
      <w:pPr>
        <w:spacing w:after="120"/>
        <w:jc w:val="center"/>
        <w:rPr>
          <w:sz w:val="20"/>
        </w:rPr>
      </w:pPr>
      <w:r w:rsidRPr="00834D3C">
        <w:rPr>
          <w:noProof/>
          <w:sz w:val="20"/>
        </w:rPr>
        <w:drawing>
          <wp:inline distT="0" distB="0" distL="0" distR="0">
            <wp:extent cx="2180843" cy="1795141"/>
            <wp:effectExtent l="19050" t="0" r="0" b="0"/>
            <wp:docPr id="4"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43404" cy="3357586"/>
                      <a:chOff x="1785918" y="1357298"/>
                      <a:chExt cx="4143404" cy="3357586"/>
                    </a:xfrm>
                  </a:grpSpPr>
                  <a:sp>
                    <a:nvSpPr>
                      <a:cNvPr id="4" name="矩形 3"/>
                      <a:cNvSpPr/>
                    </a:nvSpPr>
                    <a:spPr>
                      <a:xfrm>
                        <a:off x="1785918"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UE</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071934"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F1</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5000628"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箭头连接符 21"/>
                      <a:cNvCxnSpPr/>
                    </a:nvCxnSpPr>
                    <a:spPr>
                      <a:xfrm>
                        <a:off x="2285984" y="2285992"/>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2500298" y="1928802"/>
                        <a:ext cx="185738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Msg1:preamble</a:t>
                          </a:r>
                          <a:endParaRPr lang="zh-CN" altLang="en-US" dirty="0"/>
                        </a:p>
                      </a:txBody>
                      <a:useSpRect/>
                    </a:txSp>
                  </a:sp>
                  <a:cxnSp>
                    <a:nvCxnSpPr>
                      <a:cNvPr id="24" name="直接连接符 23"/>
                      <a:cNvCxnSpPr>
                        <a:stCxn id="6" idx="2"/>
                      </a:cNvCxnSpPr>
                    </a:nvCxnSpPr>
                    <a:spPr>
                      <a:xfrm flipH="1">
                        <a:off x="5429256" y="1714488"/>
                        <a:ext cx="35719" cy="3000396"/>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4572000" y="1714488"/>
                        <a:ext cx="0" cy="2928958"/>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2285984" y="1714488"/>
                        <a:ext cx="0" cy="2928958"/>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箭头连接符 28"/>
                      <a:cNvCxnSpPr/>
                    </a:nvCxnSpPr>
                    <a:spPr>
                      <a:xfrm flipH="1">
                        <a:off x="2285984" y="2928934"/>
                        <a:ext cx="31432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2428860" y="2571744"/>
                        <a:ext cx="221457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Msg2:PDCCH/PDSCH</a:t>
                          </a:r>
                          <a:endParaRPr lang="zh-CN" altLang="en-US" dirty="0"/>
                        </a:p>
                      </a:txBody>
                      <a:useSpRect/>
                    </a:txSp>
                  </a:sp>
                  <a:cxnSp>
                    <a:nvCxnSpPr>
                      <a:cNvPr id="31" name="直接箭头连接符 30"/>
                      <a:cNvCxnSpPr/>
                    </a:nvCxnSpPr>
                    <a:spPr>
                      <a:xfrm>
                        <a:off x="2285984" y="3500438"/>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2643174" y="3143248"/>
                        <a:ext cx="157163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Msg3: PUSCH</a:t>
                          </a:r>
                          <a:endParaRPr lang="zh-CN" altLang="en-US" dirty="0"/>
                        </a:p>
                      </a:txBody>
                      <a:useSpRect/>
                    </a:txSp>
                  </a:sp>
                  <a:cxnSp>
                    <a:nvCxnSpPr>
                      <a:cNvPr id="33" name="直接箭头连接符 32"/>
                      <a:cNvCxnSpPr/>
                    </a:nvCxnSpPr>
                    <a:spPr>
                      <a:xfrm flipH="1">
                        <a:off x="2285984" y="4143380"/>
                        <a:ext cx="31432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2357422" y="3786190"/>
                        <a:ext cx="214314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Msg4:PDCCH/PDSCH</a:t>
                          </a:r>
                          <a:endParaRPr lang="zh-CN" altLang="en-US" dirty="0"/>
                        </a:p>
                      </a:txBody>
                      <a:useSpRect/>
                    </a:txSp>
                  </a:sp>
                  <a:cxnSp>
                    <a:nvCxnSpPr>
                      <a:cNvPr id="62" name="直接箭头连接符 61"/>
                      <a:cNvCxnSpPr/>
                    </a:nvCxnSpPr>
                    <a:spPr>
                      <a:xfrm>
                        <a:off x="2285984" y="4572008"/>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2500298" y="4214818"/>
                        <a:ext cx="200026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ACK/NACK: PUCCH</a:t>
                          </a:r>
                          <a:endParaRPr lang="zh-CN" altLang="en-US" dirty="0"/>
                        </a:p>
                      </a:txBody>
                      <a:useSpRect/>
                    </a:txSp>
                  </a:sp>
                </lc:lockedCanvas>
              </a:graphicData>
            </a:graphic>
          </wp:inline>
        </w:drawing>
      </w:r>
    </w:p>
    <w:p w:rsidR="00C65808" w:rsidRDefault="00EB0354" w:rsidP="00C65808">
      <w:pPr>
        <w:spacing w:after="120"/>
        <w:jc w:val="center"/>
        <w:rPr>
          <w:sz w:val="20"/>
        </w:rPr>
      </w:pPr>
      <w:r>
        <w:rPr>
          <w:rFonts w:hint="eastAsia"/>
          <w:sz w:val="20"/>
        </w:rPr>
        <w:t>Figure 3</w:t>
      </w:r>
    </w:p>
    <w:p w:rsidR="00C65808" w:rsidRDefault="00C65808" w:rsidP="00C65808">
      <w:pPr>
        <w:spacing w:after="120"/>
        <w:rPr>
          <w:sz w:val="20"/>
        </w:rPr>
      </w:pPr>
      <w:r>
        <w:rPr>
          <w:rFonts w:hint="eastAsia"/>
          <w:sz w:val="20"/>
        </w:rPr>
        <w:t xml:space="preserve">RAN1 agreed that </w:t>
      </w:r>
      <w:r>
        <w:rPr>
          <w:sz w:val="20"/>
        </w:rPr>
        <w:t>“</w:t>
      </w:r>
      <w:r>
        <w:rPr>
          <w:rFonts w:eastAsia="MS Mincho"/>
          <w:i/>
          <w:sz w:val="20"/>
          <w:szCs w:val="20"/>
          <w:lang w:eastAsia="ja-JP"/>
        </w:rPr>
        <w:t>The configuration information for the SUL carrier is sufficient for UEs to complete RACH procedure via only that SUL carrier</w:t>
      </w:r>
      <w:r>
        <w:rPr>
          <w:sz w:val="20"/>
        </w:rPr>
        <w:t>”</w:t>
      </w:r>
      <w:r>
        <w:rPr>
          <w:rFonts w:hint="eastAsia"/>
          <w:sz w:val="20"/>
        </w:rPr>
        <w:t xml:space="preserve"> and </w:t>
      </w:r>
      <w:r>
        <w:rPr>
          <w:sz w:val="20"/>
        </w:rPr>
        <w:t>“</w:t>
      </w:r>
      <w:r>
        <w:rPr>
          <w:rFonts w:eastAsia="MS Mincho"/>
          <w:i/>
          <w:sz w:val="20"/>
          <w:szCs w:val="20"/>
          <w:lang w:eastAsia="ja-JP"/>
        </w:rPr>
        <w:t>If the UE starts its RACH procedure on the SUL carrier, then the RACH procedure is completed with all uplink transmission taking place on that carrier</w:t>
      </w:r>
      <w:r>
        <w:rPr>
          <w:sz w:val="20"/>
        </w:rPr>
        <w:t>”</w:t>
      </w:r>
      <w:r>
        <w:rPr>
          <w:rFonts w:hint="eastAsia"/>
          <w:sz w:val="20"/>
        </w:rPr>
        <w:t>. In addition in the email discussion [99bis#03], it is captured in the section 9.2.6 following agreements:</w:t>
      </w:r>
    </w:p>
    <w:p w:rsidR="00C65808" w:rsidRPr="00FC301C" w:rsidRDefault="00C65808" w:rsidP="00C65808">
      <w:pPr>
        <w:spacing w:after="120"/>
        <w:rPr>
          <w:i/>
        </w:rPr>
      </w:pPr>
      <w:r w:rsidRPr="00FC301C">
        <w:rPr>
          <w:i/>
        </w:rPr>
        <w:t xml:space="preserve">For initial access in a cell configured with SUL, the UE selects the SUL carrier if and only if the </w:t>
      </w:r>
      <w:r w:rsidRPr="00FC301C">
        <w:rPr>
          <w:i/>
        </w:rPr>
        <w:lastRenderedPageBreak/>
        <w:t>measured quality of the DL is lower than a broadcast threshold. Once started, all uplink transmissions of the random access procedure remain on the selected carrier</w:t>
      </w:r>
    </w:p>
    <w:p w:rsidR="002468BE" w:rsidRDefault="00C65808" w:rsidP="00EB0354">
      <w:pPr>
        <w:spacing w:after="120"/>
        <w:rPr>
          <w:i/>
          <w:lang w:val="en-GB"/>
        </w:rPr>
      </w:pPr>
      <w:r>
        <w:rPr>
          <w:rFonts w:hint="eastAsia"/>
          <w:sz w:val="20"/>
        </w:rPr>
        <w:t xml:space="preserve">That means once RACH procedure is triggered all the uplink transmission including PRACH, PUSCH and PUCCH should occur in that carrier. This </w:t>
      </w:r>
      <w:r w:rsidR="00EB3250">
        <w:rPr>
          <w:rFonts w:hint="eastAsia"/>
          <w:sz w:val="20"/>
        </w:rPr>
        <w:t>should apply</w:t>
      </w:r>
      <w:r>
        <w:rPr>
          <w:rFonts w:hint="eastAsia"/>
          <w:sz w:val="20"/>
        </w:rPr>
        <w:t xml:space="preserve"> for both SUL carrier and non-SUL carrier. </w:t>
      </w:r>
      <w:r w:rsidR="00165A3C">
        <w:rPr>
          <w:rFonts w:hint="eastAsia"/>
          <w:sz w:val="20"/>
        </w:rPr>
        <w:t xml:space="preserve">Considering SUL carrier will be most likely a low frequency carrier while normal NR carrier will be high frequency e.g. 3.5GHz, the physical layer parameter should be completely different from </w:t>
      </w:r>
      <w:r w:rsidR="000E31EC">
        <w:rPr>
          <w:rFonts w:hint="eastAsia"/>
          <w:sz w:val="20"/>
        </w:rPr>
        <w:t>each</w:t>
      </w:r>
      <w:r w:rsidR="00165A3C">
        <w:rPr>
          <w:rFonts w:hint="eastAsia"/>
          <w:sz w:val="20"/>
        </w:rPr>
        <w:t xml:space="preserve"> other. In addition we think MAC layer parameter e.g. </w:t>
      </w:r>
      <w:r w:rsidR="00165A3C" w:rsidRPr="00165A3C">
        <w:rPr>
          <w:rFonts w:hint="eastAsia"/>
          <w:i/>
          <w:sz w:val="20"/>
        </w:rPr>
        <w:t>RACH-ConfigCommon</w:t>
      </w:r>
      <w:r w:rsidR="00165A3C">
        <w:rPr>
          <w:rFonts w:hint="eastAsia"/>
          <w:sz w:val="20"/>
        </w:rPr>
        <w:t xml:space="preserve"> could be the same</w:t>
      </w:r>
      <w:r w:rsidR="00165A3C">
        <w:rPr>
          <w:rFonts w:hint="eastAsia"/>
          <w:lang w:val="en-GB"/>
        </w:rPr>
        <w:t xml:space="preserve"> in order to save some bits for RMSI. But </w:t>
      </w:r>
      <w:r w:rsidR="00F874F0">
        <w:rPr>
          <w:rFonts w:hint="eastAsia"/>
          <w:lang w:val="en-GB"/>
        </w:rPr>
        <w:t>flexibility and forward compatibility are also important.</w:t>
      </w:r>
      <w:r w:rsidR="00527BF5">
        <w:rPr>
          <w:rFonts w:hint="eastAsia"/>
          <w:lang w:val="en-GB"/>
        </w:rPr>
        <w:t xml:space="preserve"> To achieve both </w:t>
      </w:r>
      <w:r w:rsidR="00527BF5" w:rsidRPr="00165A3C">
        <w:rPr>
          <w:rFonts w:hint="eastAsia"/>
          <w:i/>
          <w:sz w:val="20"/>
        </w:rPr>
        <w:t>RACH-ConfigCommon</w:t>
      </w:r>
      <w:r w:rsidR="00527BF5">
        <w:rPr>
          <w:rFonts w:hint="eastAsia"/>
          <w:lang w:val="en-GB"/>
        </w:rPr>
        <w:t xml:space="preserve"> could be into </w:t>
      </w:r>
      <w:r w:rsidR="00527BF5" w:rsidRPr="00165A3C">
        <w:rPr>
          <w:rFonts w:hint="eastAsia"/>
          <w:i/>
          <w:sz w:val="20"/>
        </w:rPr>
        <w:t>RACH-ConfigCommon</w:t>
      </w:r>
      <w:r w:rsidR="00527BF5">
        <w:rPr>
          <w:rFonts w:hint="eastAsia"/>
          <w:i/>
          <w:sz w:val="20"/>
        </w:rPr>
        <w:t xml:space="preserve">_DL and </w:t>
      </w:r>
      <w:r w:rsidR="00527BF5" w:rsidRPr="00165A3C">
        <w:rPr>
          <w:rFonts w:hint="eastAsia"/>
          <w:i/>
          <w:sz w:val="20"/>
        </w:rPr>
        <w:t>RACH-ConfigCommon</w:t>
      </w:r>
      <w:r w:rsidR="00527BF5">
        <w:rPr>
          <w:rFonts w:hint="eastAsia"/>
          <w:i/>
          <w:sz w:val="20"/>
        </w:rPr>
        <w:t xml:space="preserve">_UL </w:t>
      </w:r>
      <w:r w:rsidR="009D01CC" w:rsidRPr="009D01CC">
        <w:rPr>
          <w:sz w:val="20"/>
        </w:rPr>
        <w:t>which could be independent between SUL carrier and non-SUL carrier</w:t>
      </w:r>
      <w:r w:rsidR="00F874F0">
        <w:rPr>
          <w:rFonts w:hint="eastAsia"/>
          <w:lang w:val="en-GB"/>
        </w:rPr>
        <w:t xml:space="preserve">. </w:t>
      </w:r>
    </w:p>
    <w:p w:rsidR="00C65808" w:rsidRDefault="00C65808" w:rsidP="00C65808">
      <w:pPr>
        <w:spacing w:after="120"/>
        <w:rPr>
          <w:sz w:val="20"/>
        </w:rPr>
      </w:pPr>
      <w:r>
        <w:rPr>
          <w:rFonts w:hint="eastAsia"/>
          <w:sz w:val="20"/>
        </w:rPr>
        <w:t xml:space="preserve">In addition DL parameters should be shared between SUL carrier and non-SUL carrier, these </w:t>
      </w:r>
      <w:r>
        <w:rPr>
          <w:sz w:val="20"/>
        </w:rPr>
        <w:t>parameters</w:t>
      </w:r>
      <w:r>
        <w:rPr>
          <w:rFonts w:hint="eastAsia"/>
          <w:sz w:val="20"/>
        </w:rPr>
        <w:t xml:space="preserve"> could be:</w:t>
      </w:r>
    </w:p>
    <w:p w:rsidR="00C65808" w:rsidRDefault="00C65808" w:rsidP="006868FA">
      <w:pPr>
        <w:spacing w:after="120"/>
        <w:ind w:leftChars="200" w:left="420"/>
        <w:rPr>
          <w:i/>
          <w:sz w:val="20"/>
        </w:rPr>
      </w:pPr>
      <w:r w:rsidRPr="005326D2">
        <w:rPr>
          <w:i/>
          <w:sz w:val="20"/>
        </w:rPr>
        <w:t>Actually transmitted SS blocks</w:t>
      </w:r>
      <w:r w:rsidR="00AB2ECE">
        <w:rPr>
          <w:rFonts w:hint="eastAsia"/>
          <w:i/>
          <w:sz w:val="20"/>
        </w:rPr>
        <w:t>,</w:t>
      </w:r>
    </w:p>
    <w:p w:rsidR="00AB2ECE" w:rsidRDefault="00AB2ECE" w:rsidP="006868FA">
      <w:pPr>
        <w:spacing w:after="120"/>
        <w:ind w:leftChars="200" w:left="420"/>
        <w:rPr>
          <w:i/>
          <w:sz w:val="20"/>
        </w:rPr>
      </w:pPr>
      <w:r>
        <w:rPr>
          <w:rFonts w:hint="eastAsia"/>
          <w:i/>
          <w:sz w:val="20"/>
        </w:rPr>
        <w:t>PDSCH-ConfigCommon,</w:t>
      </w:r>
    </w:p>
    <w:p w:rsidR="00AB2ECE" w:rsidRDefault="00AB2ECE" w:rsidP="006868FA">
      <w:pPr>
        <w:spacing w:after="120"/>
        <w:ind w:leftChars="200" w:left="420"/>
        <w:rPr>
          <w:i/>
          <w:sz w:val="20"/>
        </w:rPr>
      </w:pPr>
      <w:r>
        <w:rPr>
          <w:rFonts w:hint="eastAsia"/>
          <w:i/>
          <w:sz w:val="20"/>
        </w:rPr>
        <w:t>TDD-Config</w:t>
      </w:r>
    </w:p>
    <w:p w:rsidR="00AB2ECE" w:rsidRPr="005326D2" w:rsidRDefault="00AB2ECE" w:rsidP="006868FA">
      <w:pPr>
        <w:spacing w:after="120"/>
        <w:ind w:leftChars="200" w:left="420"/>
        <w:rPr>
          <w:i/>
          <w:sz w:val="20"/>
        </w:rPr>
      </w:pPr>
      <w:r>
        <w:rPr>
          <w:i/>
          <w:sz w:val="20"/>
        </w:rPr>
        <w:t>…</w:t>
      </w:r>
    </w:p>
    <w:p w:rsidR="00C65808" w:rsidRDefault="00C65808" w:rsidP="00C65808">
      <w:pPr>
        <w:spacing w:after="120"/>
        <w:rPr>
          <w:sz w:val="20"/>
        </w:rPr>
      </w:pPr>
      <w:r>
        <w:rPr>
          <w:rFonts w:hint="eastAsia"/>
          <w:sz w:val="20"/>
        </w:rPr>
        <w:t>These parameters could be depicted in the following Figure:</w:t>
      </w:r>
    </w:p>
    <w:p w:rsidR="00C65808" w:rsidRDefault="007F6530" w:rsidP="00C65808">
      <w:pPr>
        <w:spacing w:after="120"/>
        <w:jc w:val="center"/>
        <w:rPr>
          <w:sz w:val="20"/>
        </w:rPr>
      </w:pPr>
      <w:r w:rsidRPr="007F6530">
        <w:rPr>
          <w:noProof/>
        </w:rPr>
        <w:drawing>
          <wp:inline distT="0" distB="0" distL="0" distR="0">
            <wp:extent cx="4631377" cy="2738041"/>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633185" cy="2739110"/>
                    </a:xfrm>
                    <a:prstGeom prst="rect">
                      <a:avLst/>
                    </a:prstGeom>
                    <a:noFill/>
                    <a:ln w="9525">
                      <a:noFill/>
                      <a:miter lim="800000"/>
                      <a:headEnd/>
                      <a:tailEnd/>
                    </a:ln>
                  </pic:spPr>
                </pic:pic>
              </a:graphicData>
            </a:graphic>
          </wp:inline>
        </w:drawing>
      </w:r>
      <w:r w:rsidRPr="007F6530" w:rsidDel="007F6530">
        <w:t xml:space="preserve"> </w:t>
      </w:r>
    </w:p>
    <w:p w:rsidR="00596BD2" w:rsidRDefault="002C1CF4" w:rsidP="00C65808">
      <w:pPr>
        <w:spacing w:after="120"/>
        <w:jc w:val="center"/>
        <w:rPr>
          <w:sz w:val="20"/>
        </w:rPr>
      </w:pPr>
      <w:r>
        <w:rPr>
          <w:rFonts w:hint="eastAsia"/>
          <w:sz w:val="20"/>
        </w:rPr>
        <w:t>Figure 4</w:t>
      </w:r>
    </w:p>
    <w:p w:rsidR="00E0194E" w:rsidRDefault="00E0194E" w:rsidP="00E0194E">
      <w:pPr>
        <w:spacing w:after="120"/>
        <w:rPr>
          <w:sz w:val="20"/>
        </w:rPr>
      </w:pPr>
      <w:r>
        <w:rPr>
          <w:rFonts w:hint="eastAsia"/>
          <w:sz w:val="20"/>
        </w:rPr>
        <w:t xml:space="preserve">Note the additional two </w:t>
      </w:r>
      <w:r>
        <w:rPr>
          <w:sz w:val="20"/>
        </w:rPr>
        <w:t>parameters</w:t>
      </w:r>
      <w:r>
        <w:rPr>
          <w:rFonts w:hint="eastAsia"/>
          <w:sz w:val="20"/>
        </w:rPr>
        <w:t xml:space="preserve"> in Figure4 for SUL could be grouped together with other parameters in ASN.1 structure. </w:t>
      </w:r>
      <w:r>
        <w:rPr>
          <w:sz w:val="20"/>
        </w:rPr>
        <w:t>T</w:t>
      </w:r>
      <w:r>
        <w:rPr>
          <w:rFonts w:hint="eastAsia"/>
          <w:sz w:val="20"/>
        </w:rPr>
        <w:t xml:space="preserve">he RSRP </w:t>
      </w:r>
      <w:r>
        <w:rPr>
          <w:sz w:val="20"/>
        </w:rPr>
        <w:t>threshold</w:t>
      </w:r>
      <w:r>
        <w:rPr>
          <w:rFonts w:hint="eastAsia"/>
          <w:sz w:val="20"/>
        </w:rPr>
        <w:t xml:space="preserve"> supposes to be part of </w:t>
      </w:r>
      <w:r w:rsidRPr="00E0194E">
        <w:rPr>
          <w:rFonts w:hint="eastAsia"/>
          <w:i/>
          <w:sz w:val="20"/>
        </w:rPr>
        <w:t>RACH-ConfigCommon</w:t>
      </w:r>
      <w:r w:rsidR="00B31A16">
        <w:rPr>
          <w:rFonts w:hint="eastAsia"/>
          <w:i/>
          <w:sz w:val="20"/>
        </w:rPr>
        <w:t>_</w:t>
      </w:r>
      <w:r w:rsidR="009C2C6D">
        <w:rPr>
          <w:rFonts w:hint="eastAsia"/>
          <w:i/>
          <w:sz w:val="20"/>
        </w:rPr>
        <w:t>UL</w:t>
      </w:r>
      <w:r>
        <w:rPr>
          <w:rFonts w:hint="eastAsia"/>
          <w:sz w:val="20"/>
        </w:rPr>
        <w:t xml:space="preserve"> </w:t>
      </w:r>
      <w:r w:rsidR="00A622DD">
        <w:rPr>
          <w:rFonts w:hint="eastAsia"/>
          <w:sz w:val="20"/>
        </w:rPr>
        <w:t>. The</w:t>
      </w:r>
      <w:r>
        <w:rPr>
          <w:rFonts w:hint="eastAsia"/>
          <w:sz w:val="20"/>
        </w:rPr>
        <w:t xml:space="preserve"> pathloss compensation </w:t>
      </w:r>
      <w:r w:rsidR="00A622DD">
        <w:rPr>
          <w:rFonts w:hint="eastAsia"/>
          <w:sz w:val="20"/>
        </w:rPr>
        <w:t>could</w:t>
      </w:r>
      <w:r>
        <w:rPr>
          <w:rFonts w:hint="eastAsia"/>
          <w:sz w:val="20"/>
        </w:rPr>
        <w:t xml:space="preserve"> be</w:t>
      </w:r>
      <w:r w:rsidR="00A622DD">
        <w:rPr>
          <w:rFonts w:hint="eastAsia"/>
          <w:sz w:val="20"/>
        </w:rPr>
        <w:t xml:space="preserve"> reflected in the value range of corresponding parameters</w:t>
      </w:r>
      <w:r>
        <w:rPr>
          <w:rFonts w:hint="eastAsia"/>
          <w:sz w:val="20"/>
        </w:rPr>
        <w:t>.</w:t>
      </w:r>
      <w:r w:rsidR="00C40E38">
        <w:rPr>
          <w:rFonts w:hint="eastAsia"/>
          <w:sz w:val="20"/>
        </w:rPr>
        <w:t xml:space="preserve"> Furthermore the parameters listed </w:t>
      </w:r>
      <w:r w:rsidR="00C40E38">
        <w:rPr>
          <w:sz w:val="20"/>
        </w:rPr>
        <w:t xml:space="preserve">in Figure4 </w:t>
      </w:r>
      <w:r w:rsidR="00C40E38">
        <w:rPr>
          <w:rFonts w:hint="eastAsia"/>
          <w:sz w:val="20"/>
        </w:rPr>
        <w:t>are</w:t>
      </w:r>
      <w:r w:rsidR="00C40E38">
        <w:rPr>
          <w:sz w:val="20"/>
        </w:rPr>
        <w:t xml:space="preserve"> only related to initial access procedure</w:t>
      </w:r>
      <w:r w:rsidR="00C40E38">
        <w:rPr>
          <w:rFonts w:hint="eastAsia"/>
          <w:sz w:val="20"/>
        </w:rPr>
        <w:t xml:space="preserve"> i.e. maybe more uplink parameters could be listed separately e.g. parameters related to sounding reference. All the detail parameters will be clear after further input from RAN1.</w:t>
      </w:r>
    </w:p>
    <w:p w:rsidR="00C65808" w:rsidRDefault="00C65808" w:rsidP="00C65808">
      <w:pPr>
        <w:spacing w:after="120"/>
        <w:rPr>
          <w:b/>
          <w:sz w:val="20"/>
        </w:rPr>
      </w:pPr>
      <w:r>
        <w:rPr>
          <w:b/>
          <w:sz w:val="20"/>
        </w:rPr>
        <w:t>P</w:t>
      </w:r>
      <w:r>
        <w:rPr>
          <w:rFonts w:hint="eastAsia"/>
          <w:b/>
          <w:sz w:val="20"/>
        </w:rPr>
        <w:t>roposal</w:t>
      </w:r>
      <w:r w:rsidR="00760D10">
        <w:rPr>
          <w:rFonts w:hint="eastAsia"/>
          <w:b/>
          <w:sz w:val="20"/>
        </w:rPr>
        <w:t>5</w:t>
      </w:r>
      <w:r>
        <w:rPr>
          <w:rFonts w:hint="eastAsia"/>
          <w:b/>
          <w:sz w:val="20"/>
        </w:rPr>
        <w:t xml:space="preserve">: </w:t>
      </w:r>
      <w:r w:rsidR="002969AC">
        <w:rPr>
          <w:rFonts w:hint="eastAsia"/>
          <w:b/>
          <w:sz w:val="20"/>
        </w:rPr>
        <w:t xml:space="preserve">One </w:t>
      </w:r>
      <w:r>
        <w:rPr>
          <w:rFonts w:hint="eastAsia"/>
          <w:b/>
          <w:sz w:val="20"/>
        </w:rPr>
        <w:t xml:space="preserve">set of parameters to complete RACH procedure should broadcast in </w:t>
      </w:r>
      <w:r w:rsidR="00324808">
        <w:rPr>
          <w:rFonts w:hint="eastAsia"/>
          <w:b/>
          <w:sz w:val="20"/>
        </w:rPr>
        <w:t>SIB1</w:t>
      </w:r>
      <w:r w:rsidR="002969AC">
        <w:rPr>
          <w:rFonts w:hint="eastAsia"/>
          <w:b/>
          <w:sz w:val="20"/>
        </w:rPr>
        <w:t>. In addition another set of uplink parameters of SUL carrier could be broadcast in SIB1 optionally.</w:t>
      </w:r>
    </w:p>
    <w:p w:rsidR="00596BD2" w:rsidRDefault="00CD66B2" w:rsidP="00C65808">
      <w:pPr>
        <w:spacing w:after="120"/>
        <w:rPr>
          <w:sz w:val="20"/>
        </w:rPr>
      </w:pPr>
      <w:r>
        <w:rPr>
          <w:rFonts w:hint="eastAsia"/>
          <w:sz w:val="20"/>
        </w:rPr>
        <w:lastRenderedPageBreak/>
        <w:t>T</w:t>
      </w:r>
      <w:r w:rsidR="00596BD2">
        <w:rPr>
          <w:rFonts w:hint="eastAsia"/>
          <w:sz w:val="20"/>
        </w:rPr>
        <w:t xml:space="preserve">he parameter listed in Figure </w:t>
      </w:r>
      <w:r w:rsidR="002C1CF4">
        <w:rPr>
          <w:rFonts w:hint="eastAsia"/>
          <w:sz w:val="20"/>
        </w:rPr>
        <w:t>4</w:t>
      </w:r>
      <w:r w:rsidR="00596BD2">
        <w:rPr>
          <w:rFonts w:hint="eastAsia"/>
          <w:sz w:val="20"/>
        </w:rPr>
        <w:t xml:space="preserve"> should also be contained within dedicated signaling for the case where network will configure the detail carrier for RACH procedure including related parameter. And since network already makes decision before it send dedicated signaling to UE, that</w:t>
      </w:r>
      <w:r w:rsidR="00596BD2">
        <w:rPr>
          <w:sz w:val="20"/>
        </w:rPr>
        <w:t>’</w:t>
      </w:r>
      <w:r w:rsidR="00596BD2">
        <w:rPr>
          <w:rFonts w:hint="eastAsia"/>
          <w:sz w:val="20"/>
        </w:rPr>
        <w:t>s why only one set of the parameters will be in the dedicated signaling, either of SUL carrier or of non-SUL carrier.</w:t>
      </w:r>
      <w:r w:rsidR="008B54A0">
        <w:rPr>
          <w:rFonts w:hint="eastAsia"/>
          <w:sz w:val="20"/>
        </w:rPr>
        <w:t xml:space="preserve"> </w:t>
      </w:r>
      <w:r w:rsidR="008B54A0">
        <w:rPr>
          <w:sz w:val="20"/>
        </w:rPr>
        <w:t>T</w:t>
      </w:r>
      <w:r w:rsidR="008B54A0">
        <w:rPr>
          <w:rFonts w:hint="eastAsia"/>
          <w:sz w:val="20"/>
        </w:rPr>
        <w:t>hese two cases are handover and SgNB change. As for the DL data triggering contention-free RACH procedure nothing else need be signaling except for dedicated PRACH resource and carrier index. This is because UE is in RRC_CONNECTED i.e. it is kept updating system information as usual.</w:t>
      </w:r>
    </w:p>
    <w:p w:rsidR="009216A4" w:rsidRPr="009216A4" w:rsidRDefault="008B54A0" w:rsidP="00C65808">
      <w:pPr>
        <w:spacing w:after="120"/>
        <w:rPr>
          <w:sz w:val="20"/>
        </w:rPr>
      </w:pPr>
      <w:r w:rsidRPr="000B1A1C">
        <w:rPr>
          <w:b/>
          <w:sz w:val="20"/>
        </w:rPr>
        <w:t>P</w:t>
      </w:r>
      <w:r w:rsidRPr="000B1A1C">
        <w:rPr>
          <w:rFonts w:hint="eastAsia"/>
          <w:b/>
          <w:sz w:val="20"/>
        </w:rPr>
        <w:t xml:space="preserve">roposal6: One set of the </w:t>
      </w:r>
      <w:r w:rsidR="002C1CF4">
        <w:rPr>
          <w:rFonts w:hint="eastAsia"/>
          <w:b/>
          <w:sz w:val="20"/>
        </w:rPr>
        <w:t xml:space="preserve">uplink </w:t>
      </w:r>
      <w:r w:rsidRPr="000B1A1C">
        <w:rPr>
          <w:b/>
          <w:sz w:val="20"/>
        </w:rPr>
        <w:t>parameters</w:t>
      </w:r>
      <w:r w:rsidRPr="000B1A1C">
        <w:rPr>
          <w:rFonts w:hint="eastAsia"/>
          <w:b/>
          <w:sz w:val="20"/>
        </w:rPr>
        <w:t xml:space="preserve"> in Figure </w:t>
      </w:r>
      <w:r w:rsidR="002C1CF4">
        <w:rPr>
          <w:rFonts w:hint="eastAsia"/>
          <w:b/>
          <w:sz w:val="20"/>
        </w:rPr>
        <w:t>4</w:t>
      </w:r>
      <w:r w:rsidRPr="000B1A1C">
        <w:rPr>
          <w:rFonts w:hint="eastAsia"/>
          <w:b/>
          <w:sz w:val="20"/>
        </w:rPr>
        <w:t xml:space="preserve"> will be signaled in dedicated signaling.</w:t>
      </w:r>
    </w:p>
    <w:bookmarkEnd w:id="5"/>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Pr>
          <w:rFonts w:ascii="Arial" w:hAnsi="Arial" w:hint="eastAsia"/>
          <w:b w:val="0"/>
          <w:kern w:val="0"/>
          <w:sz w:val="32"/>
          <w:lang w:val="en-GB" w:eastAsia="en-US"/>
        </w:rPr>
        <w:t>Conclusion</w:t>
      </w:r>
    </w:p>
    <w:p w:rsidR="005A43C1" w:rsidRPr="005A43C1" w:rsidRDefault="005A43C1" w:rsidP="005A43C1">
      <w:pPr>
        <w:spacing w:after="120"/>
      </w:pPr>
      <w:r w:rsidRPr="005A43C1">
        <w:rPr>
          <w:rFonts w:hint="eastAsia"/>
        </w:rPr>
        <w:t>Here are our proposals:</w:t>
      </w:r>
    </w:p>
    <w:p w:rsidR="005A43C1" w:rsidRDefault="005A43C1" w:rsidP="005A43C1">
      <w:pPr>
        <w:spacing w:after="120"/>
        <w:rPr>
          <w:b/>
        </w:rPr>
      </w:pPr>
      <w:r w:rsidRPr="005A43C1">
        <w:rPr>
          <w:b/>
        </w:rPr>
        <w:t>P</w:t>
      </w:r>
      <w:r w:rsidRPr="005A43C1">
        <w:rPr>
          <w:rFonts w:hint="eastAsia"/>
          <w:b/>
        </w:rPr>
        <w:t>roposal1: UE select SUL carrier only when measured RSRP is lower than threshold.</w:t>
      </w:r>
    </w:p>
    <w:p w:rsidR="004A2C54" w:rsidRPr="00FF6AAA" w:rsidRDefault="004A2C54" w:rsidP="004A2C54">
      <w:pPr>
        <w:spacing w:after="120"/>
        <w:rPr>
          <w:b/>
          <w:sz w:val="20"/>
        </w:rPr>
      </w:pPr>
      <w:r>
        <w:rPr>
          <w:rFonts w:hint="eastAsia"/>
          <w:b/>
          <w:sz w:val="20"/>
        </w:rPr>
        <w:t>Proposal1a: The selection of uplink carrier occurs before the initiation of the RACH procedure</w:t>
      </w:r>
    </w:p>
    <w:p w:rsidR="005A43C1" w:rsidRDefault="005A43C1" w:rsidP="005A43C1">
      <w:pPr>
        <w:rPr>
          <w:b/>
          <w:sz w:val="20"/>
        </w:rPr>
      </w:pPr>
      <w:r w:rsidRPr="00760D10">
        <w:rPr>
          <w:b/>
          <w:sz w:val="20"/>
        </w:rPr>
        <w:t>P</w:t>
      </w:r>
      <w:r w:rsidRPr="00760D10">
        <w:rPr>
          <w:rFonts w:hint="eastAsia"/>
          <w:b/>
          <w:sz w:val="20"/>
        </w:rPr>
        <w:t>roposal2: for triggers 1/2/5/6/7 listed above, UE select SUL or non-SUL carrier based on same RSRP threshold for RACH procedure</w:t>
      </w:r>
    </w:p>
    <w:p w:rsidR="005A43C1" w:rsidRPr="00760D10" w:rsidRDefault="005A43C1" w:rsidP="005A43C1">
      <w:pPr>
        <w:spacing w:after="120"/>
        <w:rPr>
          <w:b/>
          <w:sz w:val="20"/>
        </w:rPr>
      </w:pPr>
      <w:r w:rsidRPr="00760D10">
        <w:rPr>
          <w:b/>
          <w:sz w:val="20"/>
        </w:rPr>
        <w:t>P</w:t>
      </w:r>
      <w:r w:rsidRPr="00760D10">
        <w:rPr>
          <w:rFonts w:hint="eastAsia"/>
          <w:b/>
          <w:sz w:val="20"/>
        </w:rPr>
        <w:t>roposal3: for handover, SgNB change or DL data arrival to trigger contention-free RACH procedure, it is up to network</w:t>
      </w:r>
      <w:r w:rsidRPr="00760D10">
        <w:rPr>
          <w:b/>
          <w:sz w:val="20"/>
        </w:rPr>
        <w:t>’</w:t>
      </w:r>
      <w:r w:rsidRPr="00760D10">
        <w:rPr>
          <w:rFonts w:hint="eastAsia"/>
          <w:b/>
          <w:sz w:val="20"/>
        </w:rPr>
        <w:t xml:space="preserve">s </w:t>
      </w:r>
      <w:r w:rsidRPr="00760D10">
        <w:rPr>
          <w:b/>
          <w:sz w:val="20"/>
        </w:rPr>
        <w:t>implementation</w:t>
      </w:r>
      <w:r w:rsidRPr="00760D10">
        <w:rPr>
          <w:rFonts w:hint="eastAsia"/>
          <w:b/>
          <w:sz w:val="20"/>
        </w:rPr>
        <w:t xml:space="preserve"> to decide which carrier is used for RACH procedure</w:t>
      </w:r>
    </w:p>
    <w:p w:rsidR="005A43C1" w:rsidRPr="00760D10" w:rsidRDefault="005A43C1" w:rsidP="005A43C1">
      <w:pPr>
        <w:spacing w:after="120"/>
        <w:rPr>
          <w:b/>
          <w:sz w:val="20"/>
        </w:rPr>
      </w:pPr>
      <w:r w:rsidRPr="00760D10">
        <w:rPr>
          <w:b/>
          <w:sz w:val="20"/>
        </w:rPr>
        <w:t>P</w:t>
      </w:r>
      <w:r w:rsidRPr="00760D10">
        <w:rPr>
          <w:rFonts w:hint="eastAsia"/>
          <w:b/>
          <w:sz w:val="20"/>
        </w:rPr>
        <w:t>roposal4: for DL data arrival to trigger contention-based RACH procedure, UE select SUL or non-SUL carrier based on same RSRP threshold for RACH procedure</w:t>
      </w:r>
    </w:p>
    <w:p w:rsidR="005A43C1" w:rsidRDefault="005A43C1" w:rsidP="005A43C1">
      <w:pPr>
        <w:spacing w:after="120"/>
        <w:rPr>
          <w:b/>
          <w:sz w:val="20"/>
        </w:rPr>
      </w:pPr>
      <w:r>
        <w:rPr>
          <w:b/>
          <w:sz w:val="20"/>
        </w:rPr>
        <w:t>P</w:t>
      </w:r>
      <w:r>
        <w:rPr>
          <w:rFonts w:hint="eastAsia"/>
          <w:b/>
          <w:sz w:val="20"/>
        </w:rPr>
        <w:t xml:space="preserve">roposal5: Two sets of parameters to complete RACH procedure should broadcast in SIB1 </w:t>
      </w:r>
    </w:p>
    <w:p w:rsidR="005A43C1" w:rsidRPr="005A43C1" w:rsidRDefault="005A43C1" w:rsidP="00E6351A">
      <w:pPr>
        <w:spacing w:after="120"/>
      </w:pPr>
      <w:r w:rsidRPr="000B1A1C">
        <w:rPr>
          <w:b/>
          <w:sz w:val="20"/>
        </w:rPr>
        <w:t>P</w:t>
      </w:r>
      <w:r w:rsidRPr="000B1A1C">
        <w:rPr>
          <w:rFonts w:hint="eastAsia"/>
          <w:b/>
          <w:sz w:val="20"/>
        </w:rPr>
        <w:t xml:space="preserve">roposal6: One set of the </w:t>
      </w:r>
      <w:r>
        <w:rPr>
          <w:rFonts w:hint="eastAsia"/>
          <w:b/>
          <w:sz w:val="20"/>
        </w:rPr>
        <w:t xml:space="preserve">uplink </w:t>
      </w:r>
      <w:r w:rsidRPr="000B1A1C">
        <w:rPr>
          <w:b/>
          <w:sz w:val="20"/>
        </w:rPr>
        <w:t>parameters</w:t>
      </w:r>
      <w:r w:rsidRPr="000B1A1C">
        <w:rPr>
          <w:rFonts w:hint="eastAsia"/>
          <w:b/>
          <w:sz w:val="20"/>
        </w:rPr>
        <w:t xml:space="preserve"> in Figure </w:t>
      </w:r>
      <w:r>
        <w:rPr>
          <w:rFonts w:hint="eastAsia"/>
          <w:b/>
          <w:sz w:val="20"/>
        </w:rPr>
        <w:t>4</w:t>
      </w:r>
      <w:r w:rsidRPr="000B1A1C">
        <w:rPr>
          <w:rFonts w:hint="eastAsia"/>
          <w:b/>
          <w:sz w:val="20"/>
        </w:rPr>
        <w:t xml:space="preserve"> will be signaled in dedicated signaling.</w:t>
      </w:r>
    </w:p>
    <w:p w:rsidR="008F3102" w:rsidRDefault="00AF2312" w:rsidP="00AF2312">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Pr>
          <w:rFonts w:ascii="Arial" w:hAnsi="Arial" w:hint="eastAsia"/>
          <w:b w:val="0"/>
          <w:kern w:val="0"/>
          <w:sz w:val="32"/>
          <w:lang w:val="en-GB"/>
        </w:rPr>
        <w:t>R</w:t>
      </w:r>
      <w:r w:rsidRPr="00AF2312">
        <w:rPr>
          <w:rFonts w:ascii="Arial" w:hAnsi="Arial" w:hint="eastAsia"/>
          <w:b w:val="0"/>
          <w:kern w:val="0"/>
          <w:sz w:val="32"/>
          <w:lang w:val="en-GB" w:eastAsia="en-US"/>
        </w:rPr>
        <w:t>eference</w:t>
      </w:r>
    </w:p>
    <w:p w:rsidR="00AF2312" w:rsidRPr="00AF2312" w:rsidRDefault="00AF2312" w:rsidP="00AF2312">
      <w:pPr>
        <w:rPr>
          <w:lang w:val="en-GB"/>
        </w:rPr>
      </w:pPr>
      <w:r>
        <w:rPr>
          <w:rFonts w:hint="eastAsia"/>
          <w:lang w:val="en-GB"/>
        </w:rPr>
        <w:t xml:space="preserve">[1] </w:t>
      </w:r>
      <w:r w:rsidRPr="003C121F">
        <w:t>R2-1710015</w:t>
      </w:r>
      <w:r>
        <w:rPr>
          <w:rFonts w:hint="eastAsia"/>
        </w:rPr>
        <w:t xml:space="preserve"> </w:t>
      </w:r>
      <w:r w:rsidRPr="00AF2312">
        <w:t>LS on initial access with SUL</w:t>
      </w:r>
    </w:p>
    <w:sectPr w:rsidR="00AF2312" w:rsidRPr="00AF2312" w:rsidSect="000D75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982" w:rsidRDefault="00C22982" w:rsidP="00F3359F">
      <w:r>
        <w:separator/>
      </w:r>
    </w:p>
  </w:endnote>
  <w:endnote w:type="continuationSeparator" w:id="0">
    <w:p w:rsidR="00C22982" w:rsidRDefault="00C22982" w:rsidP="00F335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982" w:rsidRDefault="00C22982" w:rsidP="00F3359F">
      <w:r>
        <w:separator/>
      </w:r>
    </w:p>
  </w:footnote>
  <w:footnote w:type="continuationSeparator" w:id="0">
    <w:p w:rsidR="00C22982" w:rsidRDefault="00C22982" w:rsidP="00F3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0A37"/>
    <w:multiLevelType w:val="multilevel"/>
    <w:tmpl w:val="0F7E0A3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8D4AFC"/>
    <w:multiLevelType w:val="multilevel"/>
    <w:tmpl w:val="3B8D4AF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4B0C5DB3"/>
    <w:multiLevelType w:val="multilevel"/>
    <w:tmpl w:val="4B0C5D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9A80411"/>
    <w:multiLevelType w:val="singleLevel"/>
    <w:tmpl w:val="59A80411"/>
    <w:lvl w:ilvl="0">
      <w:start w:val="1"/>
      <w:numFmt w:val="bullet"/>
      <w:lvlText w:val=""/>
      <w:lvlJc w:val="left"/>
      <w:pPr>
        <w:ind w:left="420" w:hanging="420"/>
      </w:pPr>
      <w:rPr>
        <w:rFonts w:ascii="Wingdings" w:hAnsi="Wingdings" w:hint="default"/>
      </w:rPr>
    </w:lvl>
  </w:abstractNum>
  <w:abstractNum w:abstractNumId="5">
    <w:nsid w:val="59B0C842"/>
    <w:multiLevelType w:val="singleLevel"/>
    <w:tmpl w:val="59B0C842"/>
    <w:lvl w:ilvl="0">
      <w:start w:val="1"/>
      <w:numFmt w:val="bullet"/>
      <w:lvlText w:val="˗"/>
      <w:lvlJc w:val="left"/>
      <w:pPr>
        <w:ind w:left="420" w:hanging="420"/>
      </w:pPr>
      <w:rPr>
        <w:rFonts w:ascii="Arial" w:hAnsi="Arial" w:cs="Arial" w:hint="default"/>
      </w:rPr>
    </w:lvl>
  </w:abstractNum>
  <w:abstractNum w:abstractNumId="6">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7">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4"/>
  </w:num>
  <w:num w:numId="6">
    <w:abstractNumId w:val="5"/>
  </w:num>
  <w:num w:numId="7">
    <w:abstractNumId w:val="6"/>
  </w:num>
  <w:num w:numId="8">
    <w:abstractNumId w:val="0"/>
  </w:num>
  <w:num w:numId="9">
    <w:abstractNumId w:val="0"/>
  </w:num>
  <w:num w:numId="10">
    <w:abstractNumId w:val="0"/>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noPunctuationKerning/>
  <w:characterSpacingControl w:val="compressPunctuation"/>
  <w:hdrShapeDefaults>
    <o:shapedefaults v:ext="edit" spidmax="5427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3FE"/>
    <w:rsid w:val="00014CD9"/>
    <w:rsid w:val="0002427F"/>
    <w:rsid w:val="00030079"/>
    <w:rsid w:val="00043D0A"/>
    <w:rsid w:val="00046F57"/>
    <w:rsid w:val="000752EB"/>
    <w:rsid w:val="000836E5"/>
    <w:rsid w:val="00085EC1"/>
    <w:rsid w:val="000979D2"/>
    <w:rsid w:val="000B1A1C"/>
    <w:rsid w:val="000B2B64"/>
    <w:rsid w:val="000B550D"/>
    <w:rsid w:val="000C2E0D"/>
    <w:rsid w:val="000D0097"/>
    <w:rsid w:val="000D4680"/>
    <w:rsid w:val="000D7554"/>
    <w:rsid w:val="000D7B8E"/>
    <w:rsid w:val="000E31EC"/>
    <w:rsid w:val="000E5606"/>
    <w:rsid w:val="000E585B"/>
    <w:rsid w:val="000E749A"/>
    <w:rsid w:val="000F4FDB"/>
    <w:rsid w:val="000F680E"/>
    <w:rsid w:val="001034BE"/>
    <w:rsid w:val="00104F26"/>
    <w:rsid w:val="00121949"/>
    <w:rsid w:val="00121AFE"/>
    <w:rsid w:val="00121FAD"/>
    <w:rsid w:val="00133667"/>
    <w:rsid w:val="00134529"/>
    <w:rsid w:val="001347AE"/>
    <w:rsid w:val="00145AE4"/>
    <w:rsid w:val="00147941"/>
    <w:rsid w:val="00154CBB"/>
    <w:rsid w:val="001560E2"/>
    <w:rsid w:val="00160266"/>
    <w:rsid w:val="00165A3C"/>
    <w:rsid w:val="0017086F"/>
    <w:rsid w:val="00172A27"/>
    <w:rsid w:val="00173C7B"/>
    <w:rsid w:val="00190785"/>
    <w:rsid w:val="00194B08"/>
    <w:rsid w:val="001C0B2E"/>
    <w:rsid w:val="001C288D"/>
    <w:rsid w:val="001D15E0"/>
    <w:rsid w:val="001D45D9"/>
    <w:rsid w:val="001E7518"/>
    <w:rsid w:val="001F08E0"/>
    <w:rsid w:val="001F39FA"/>
    <w:rsid w:val="001F4293"/>
    <w:rsid w:val="0020235A"/>
    <w:rsid w:val="002257C7"/>
    <w:rsid w:val="00242318"/>
    <w:rsid w:val="0024663E"/>
    <w:rsid w:val="002468BE"/>
    <w:rsid w:val="00263A9D"/>
    <w:rsid w:val="00264175"/>
    <w:rsid w:val="002643D3"/>
    <w:rsid w:val="0026485D"/>
    <w:rsid w:val="00290DBE"/>
    <w:rsid w:val="002969AC"/>
    <w:rsid w:val="002A13B7"/>
    <w:rsid w:val="002A4278"/>
    <w:rsid w:val="002A490B"/>
    <w:rsid w:val="002B06E1"/>
    <w:rsid w:val="002C1CF4"/>
    <w:rsid w:val="002D309A"/>
    <w:rsid w:val="002D413E"/>
    <w:rsid w:val="002D78DA"/>
    <w:rsid w:val="002F371E"/>
    <w:rsid w:val="002F42C1"/>
    <w:rsid w:val="002F5493"/>
    <w:rsid w:val="0030284B"/>
    <w:rsid w:val="00304A5B"/>
    <w:rsid w:val="00305D94"/>
    <w:rsid w:val="00324808"/>
    <w:rsid w:val="003340BE"/>
    <w:rsid w:val="00334491"/>
    <w:rsid w:val="00352797"/>
    <w:rsid w:val="0035371D"/>
    <w:rsid w:val="00370A45"/>
    <w:rsid w:val="003737B7"/>
    <w:rsid w:val="00376C31"/>
    <w:rsid w:val="00380812"/>
    <w:rsid w:val="0038285D"/>
    <w:rsid w:val="0038432C"/>
    <w:rsid w:val="00387545"/>
    <w:rsid w:val="00393255"/>
    <w:rsid w:val="00396EAE"/>
    <w:rsid w:val="003A0E1C"/>
    <w:rsid w:val="003A3663"/>
    <w:rsid w:val="003A611E"/>
    <w:rsid w:val="003B348E"/>
    <w:rsid w:val="003B682E"/>
    <w:rsid w:val="003C121F"/>
    <w:rsid w:val="003E07B3"/>
    <w:rsid w:val="003E38AF"/>
    <w:rsid w:val="003F3394"/>
    <w:rsid w:val="00402A29"/>
    <w:rsid w:val="0041426F"/>
    <w:rsid w:val="00416ADF"/>
    <w:rsid w:val="00423172"/>
    <w:rsid w:val="00450D4A"/>
    <w:rsid w:val="00454EB7"/>
    <w:rsid w:val="00466FF6"/>
    <w:rsid w:val="00474724"/>
    <w:rsid w:val="00483B3C"/>
    <w:rsid w:val="0048795A"/>
    <w:rsid w:val="00493E6D"/>
    <w:rsid w:val="00497E65"/>
    <w:rsid w:val="004A2C54"/>
    <w:rsid w:val="004B0368"/>
    <w:rsid w:val="004B4CFB"/>
    <w:rsid w:val="004B6F18"/>
    <w:rsid w:val="004C22DB"/>
    <w:rsid w:val="004C64FB"/>
    <w:rsid w:val="004D1DE5"/>
    <w:rsid w:val="004E3DA6"/>
    <w:rsid w:val="004F2FC9"/>
    <w:rsid w:val="004F68E6"/>
    <w:rsid w:val="004F738F"/>
    <w:rsid w:val="00514570"/>
    <w:rsid w:val="00514E05"/>
    <w:rsid w:val="0051542E"/>
    <w:rsid w:val="0051600E"/>
    <w:rsid w:val="005207C8"/>
    <w:rsid w:val="005269D2"/>
    <w:rsid w:val="00527BF5"/>
    <w:rsid w:val="00531F45"/>
    <w:rsid w:val="005326D2"/>
    <w:rsid w:val="00533394"/>
    <w:rsid w:val="00540591"/>
    <w:rsid w:val="00547647"/>
    <w:rsid w:val="005565FC"/>
    <w:rsid w:val="00570094"/>
    <w:rsid w:val="005730BA"/>
    <w:rsid w:val="0057389B"/>
    <w:rsid w:val="00575E53"/>
    <w:rsid w:val="0058172A"/>
    <w:rsid w:val="00583EDE"/>
    <w:rsid w:val="00586FF9"/>
    <w:rsid w:val="00596BD2"/>
    <w:rsid w:val="005A43C1"/>
    <w:rsid w:val="005B3550"/>
    <w:rsid w:val="005B4489"/>
    <w:rsid w:val="005F7477"/>
    <w:rsid w:val="006012F2"/>
    <w:rsid w:val="00616906"/>
    <w:rsid w:val="00620487"/>
    <w:rsid w:val="00620BDA"/>
    <w:rsid w:val="00627EDB"/>
    <w:rsid w:val="0064741F"/>
    <w:rsid w:val="006763AF"/>
    <w:rsid w:val="006821A1"/>
    <w:rsid w:val="006868FA"/>
    <w:rsid w:val="006A2E43"/>
    <w:rsid w:val="006C0A7D"/>
    <w:rsid w:val="006D7340"/>
    <w:rsid w:val="006D73EC"/>
    <w:rsid w:val="006E27AC"/>
    <w:rsid w:val="006F278C"/>
    <w:rsid w:val="00704D1E"/>
    <w:rsid w:val="0071362B"/>
    <w:rsid w:val="00716B6F"/>
    <w:rsid w:val="00721C48"/>
    <w:rsid w:val="0072407C"/>
    <w:rsid w:val="00735A3D"/>
    <w:rsid w:val="00735AAD"/>
    <w:rsid w:val="00747690"/>
    <w:rsid w:val="00752BEE"/>
    <w:rsid w:val="00752FF6"/>
    <w:rsid w:val="00756BA1"/>
    <w:rsid w:val="00760D10"/>
    <w:rsid w:val="00786303"/>
    <w:rsid w:val="007C06DB"/>
    <w:rsid w:val="007C263A"/>
    <w:rsid w:val="007C473C"/>
    <w:rsid w:val="007E6A72"/>
    <w:rsid w:val="007F6530"/>
    <w:rsid w:val="00814278"/>
    <w:rsid w:val="00825D91"/>
    <w:rsid w:val="00834D3C"/>
    <w:rsid w:val="008402E4"/>
    <w:rsid w:val="00840BEC"/>
    <w:rsid w:val="00842481"/>
    <w:rsid w:val="0084652D"/>
    <w:rsid w:val="00846B0C"/>
    <w:rsid w:val="008479CA"/>
    <w:rsid w:val="00856B00"/>
    <w:rsid w:val="00880C43"/>
    <w:rsid w:val="0088769F"/>
    <w:rsid w:val="0089623A"/>
    <w:rsid w:val="00897B1A"/>
    <w:rsid w:val="008B00E1"/>
    <w:rsid w:val="008B54A0"/>
    <w:rsid w:val="008B6A21"/>
    <w:rsid w:val="008B7EB0"/>
    <w:rsid w:val="008F3102"/>
    <w:rsid w:val="008F49B9"/>
    <w:rsid w:val="008F6689"/>
    <w:rsid w:val="008F6964"/>
    <w:rsid w:val="009216A4"/>
    <w:rsid w:val="00925FB8"/>
    <w:rsid w:val="00931D5A"/>
    <w:rsid w:val="0093277F"/>
    <w:rsid w:val="00933415"/>
    <w:rsid w:val="0093369D"/>
    <w:rsid w:val="00941AF5"/>
    <w:rsid w:val="009520BA"/>
    <w:rsid w:val="00962302"/>
    <w:rsid w:val="00966852"/>
    <w:rsid w:val="00974A57"/>
    <w:rsid w:val="009825E4"/>
    <w:rsid w:val="00982A12"/>
    <w:rsid w:val="009929BC"/>
    <w:rsid w:val="009A5971"/>
    <w:rsid w:val="009B1C7A"/>
    <w:rsid w:val="009C10ED"/>
    <w:rsid w:val="009C23DE"/>
    <w:rsid w:val="009C2859"/>
    <w:rsid w:val="009C2C6D"/>
    <w:rsid w:val="009C71C4"/>
    <w:rsid w:val="009D01CC"/>
    <w:rsid w:val="009D32AA"/>
    <w:rsid w:val="009E56D2"/>
    <w:rsid w:val="009F6BDE"/>
    <w:rsid w:val="00A03583"/>
    <w:rsid w:val="00A04D03"/>
    <w:rsid w:val="00A0552F"/>
    <w:rsid w:val="00A24B72"/>
    <w:rsid w:val="00A31007"/>
    <w:rsid w:val="00A33D04"/>
    <w:rsid w:val="00A40FC8"/>
    <w:rsid w:val="00A50443"/>
    <w:rsid w:val="00A51DA8"/>
    <w:rsid w:val="00A535BF"/>
    <w:rsid w:val="00A55D90"/>
    <w:rsid w:val="00A572D9"/>
    <w:rsid w:val="00A608F2"/>
    <w:rsid w:val="00A622DD"/>
    <w:rsid w:val="00A7045A"/>
    <w:rsid w:val="00A70A6B"/>
    <w:rsid w:val="00A77686"/>
    <w:rsid w:val="00A853E2"/>
    <w:rsid w:val="00A971AD"/>
    <w:rsid w:val="00AB0210"/>
    <w:rsid w:val="00AB2ECE"/>
    <w:rsid w:val="00AC2648"/>
    <w:rsid w:val="00AC30D4"/>
    <w:rsid w:val="00AC54D1"/>
    <w:rsid w:val="00AE0656"/>
    <w:rsid w:val="00AE57DC"/>
    <w:rsid w:val="00AF2312"/>
    <w:rsid w:val="00AF7D6F"/>
    <w:rsid w:val="00B11146"/>
    <w:rsid w:val="00B11D34"/>
    <w:rsid w:val="00B21903"/>
    <w:rsid w:val="00B31A16"/>
    <w:rsid w:val="00B36CDA"/>
    <w:rsid w:val="00B377EA"/>
    <w:rsid w:val="00B42037"/>
    <w:rsid w:val="00B638C4"/>
    <w:rsid w:val="00B714A2"/>
    <w:rsid w:val="00B81BA5"/>
    <w:rsid w:val="00B96829"/>
    <w:rsid w:val="00B96A9E"/>
    <w:rsid w:val="00BA0554"/>
    <w:rsid w:val="00BA2085"/>
    <w:rsid w:val="00BA6941"/>
    <w:rsid w:val="00BA7736"/>
    <w:rsid w:val="00BC30DA"/>
    <w:rsid w:val="00BC5409"/>
    <w:rsid w:val="00BE0579"/>
    <w:rsid w:val="00BE0996"/>
    <w:rsid w:val="00C03838"/>
    <w:rsid w:val="00C13207"/>
    <w:rsid w:val="00C14F9D"/>
    <w:rsid w:val="00C21543"/>
    <w:rsid w:val="00C22982"/>
    <w:rsid w:val="00C40E38"/>
    <w:rsid w:val="00C47230"/>
    <w:rsid w:val="00C5256F"/>
    <w:rsid w:val="00C65808"/>
    <w:rsid w:val="00C66788"/>
    <w:rsid w:val="00C71457"/>
    <w:rsid w:val="00C71B92"/>
    <w:rsid w:val="00C74CD6"/>
    <w:rsid w:val="00C808E7"/>
    <w:rsid w:val="00C92108"/>
    <w:rsid w:val="00C9611B"/>
    <w:rsid w:val="00CA0AF0"/>
    <w:rsid w:val="00CA43FA"/>
    <w:rsid w:val="00CA77B6"/>
    <w:rsid w:val="00CA79DB"/>
    <w:rsid w:val="00CA7EAF"/>
    <w:rsid w:val="00CB05B0"/>
    <w:rsid w:val="00CB14B9"/>
    <w:rsid w:val="00CB2D87"/>
    <w:rsid w:val="00CD1B80"/>
    <w:rsid w:val="00CD64B9"/>
    <w:rsid w:val="00CD66B2"/>
    <w:rsid w:val="00CE1EFA"/>
    <w:rsid w:val="00CF05C6"/>
    <w:rsid w:val="00CF0E94"/>
    <w:rsid w:val="00CF4A4C"/>
    <w:rsid w:val="00D02471"/>
    <w:rsid w:val="00D121B6"/>
    <w:rsid w:val="00D147E3"/>
    <w:rsid w:val="00D2149E"/>
    <w:rsid w:val="00D4530E"/>
    <w:rsid w:val="00D45354"/>
    <w:rsid w:val="00D501C9"/>
    <w:rsid w:val="00D64643"/>
    <w:rsid w:val="00D81C26"/>
    <w:rsid w:val="00D90223"/>
    <w:rsid w:val="00D90456"/>
    <w:rsid w:val="00D93DB2"/>
    <w:rsid w:val="00DA0E27"/>
    <w:rsid w:val="00DA0FF2"/>
    <w:rsid w:val="00DA71A4"/>
    <w:rsid w:val="00DB01D1"/>
    <w:rsid w:val="00DC07C6"/>
    <w:rsid w:val="00DC22B4"/>
    <w:rsid w:val="00DC4D32"/>
    <w:rsid w:val="00DF1E1E"/>
    <w:rsid w:val="00DF4EF5"/>
    <w:rsid w:val="00E0194E"/>
    <w:rsid w:val="00E16435"/>
    <w:rsid w:val="00E26689"/>
    <w:rsid w:val="00E34B5E"/>
    <w:rsid w:val="00E404D0"/>
    <w:rsid w:val="00E4051C"/>
    <w:rsid w:val="00E47938"/>
    <w:rsid w:val="00E54B97"/>
    <w:rsid w:val="00E56EBC"/>
    <w:rsid w:val="00E6351A"/>
    <w:rsid w:val="00E90101"/>
    <w:rsid w:val="00EB0354"/>
    <w:rsid w:val="00EB3250"/>
    <w:rsid w:val="00EB4132"/>
    <w:rsid w:val="00EC0133"/>
    <w:rsid w:val="00EC36B6"/>
    <w:rsid w:val="00EE6762"/>
    <w:rsid w:val="00EF5E2A"/>
    <w:rsid w:val="00F00AE7"/>
    <w:rsid w:val="00F10E7E"/>
    <w:rsid w:val="00F1410B"/>
    <w:rsid w:val="00F2213A"/>
    <w:rsid w:val="00F22BFD"/>
    <w:rsid w:val="00F27DEA"/>
    <w:rsid w:val="00F31FE4"/>
    <w:rsid w:val="00F3359F"/>
    <w:rsid w:val="00F34D7D"/>
    <w:rsid w:val="00F53D42"/>
    <w:rsid w:val="00F671F1"/>
    <w:rsid w:val="00F84D42"/>
    <w:rsid w:val="00F874F0"/>
    <w:rsid w:val="00F8782D"/>
    <w:rsid w:val="00F87C38"/>
    <w:rsid w:val="00F9315F"/>
    <w:rsid w:val="00F94DDD"/>
    <w:rsid w:val="00FA784E"/>
    <w:rsid w:val="00FC301C"/>
    <w:rsid w:val="00FD157F"/>
    <w:rsid w:val="00FD1833"/>
    <w:rsid w:val="00FE1F80"/>
    <w:rsid w:val="00FE745B"/>
    <w:rsid w:val="00FF3ED1"/>
    <w:rsid w:val="00FF5ECD"/>
    <w:rsid w:val="00FF6AAA"/>
    <w:rsid w:val="05BA73E7"/>
    <w:rsid w:val="063666C9"/>
    <w:rsid w:val="06FF52CB"/>
    <w:rsid w:val="07074F4D"/>
    <w:rsid w:val="0A467B41"/>
    <w:rsid w:val="0D4E5C6F"/>
    <w:rsid w:val="12C60056"/>
    <w:rsid w:val="145439AF"/>
    <w:rsid w:val="15373DC0"/>
    <w:rsid w:val="1CD30B5B"/>
    <w:rsid w:val="1EE56B3F"/>
    <w:rsid w:val="2763353B"/>
    <w:rsid w:val="2A341EEF"/>
    <w:rsid w:val="2C2C0920"/>
    <w:rsid w:val="322D05E0"/>
    <w:rsid w:val="396D2A15"/>
    <w:rsid w:val="3AC8441B"/>
    <w:rsid w:val="3FA07342"/>
    <w:rsid w:val="40471790"/>
    <w:rsid w:val="431E2944"/>
    <w:rsid w:val="47C52DC3"/>
    <w:rsid w:val="53255C87"/>
    <w:rsid w:val="5D954E06"/>
    <w:rsid w:val="619844A8"/>
    <w:rsid w:val="62DA2D96"/>
    <w:rsid w:val="6582072D"/>
    <w:rsid w:val="6AFC59BD"/>
    <w:rsid w:val="6EBD0988"/>
    <w:rsid w:val="70C70EE9"/>
    <w:rsid w:val="71E9104F"/>
    <w:rsid w:val="76CE6EE3"/>
    <w:rsid w:val="7ACD3C0C"/>
    <w:rsid w:val="7B5F07A4"/>
    <w:rsid w:val="7BD0293A"/>
    <w:rsid w:val="7CA636E9"/>
    <w:rsid w:val="7E2E0EC8"/>
    <w:rsid w:val="7F0A3F6D"/>
    <w:rsid w:val="7FC66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554"/>
    <w:pPr>
      <w:widowControl w:val="0"/>
      <w:jc w:val="both"/>
    </w:pPr>
    <w:rPr>
      <w:kern w:val="2"/>
      <w:sz w:val="21"/>
      <w:szCs w:val="22"/>
    </w:rPr>
  </w:style>
  <w:style w:type="paragraph" w:styleId="1">
    <w:name w:val="heading 1"/>
    <w:basedOn w:val="a"/>
    <w:next w:val="a"/>
    <w:qFormat/>
    <w:rsid w:val="000D7554"/>
    <w:pPr>
      <w:keepNext/>
      <w:keepLines/>
      <w:numPr>
        <w:numId w:val="1"/>
      </w:numPr>
      <w:spacing w:line="360" w:lineRule="auto"/>
      <w:outlineLvl w:val="0"/>
    </w:pPr>
    <w:rPr>
      <w:b/>
      <w:kern w:val="44"/>
      <w:sz w:val="28"/>
    </w:rPr>
  </w:style>
  <w:style w:type="paragraph" w:styleId="2">
    <w:name w:val="heading 2"/>
    <w:basedOn w:val="1"/>
    <w:next w:val="a"/>
    <w:unhideWhenUsed/>
    <w:qFormat/>
    <w:rsid w:val="000D7554"/>
    <w:pPr>
      <w:numPr>
        <w:ilvl w:val="1"/>
      </w:numP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D7554"/>
    <w:rPr>
      <w:rFonts w:ascii="宋体"/>
      <w:sz w:val="18"/>
      <w:szCs w:val="18"/>
    </w:rPr>
  </w:style>
  <w:style w:type="paragraph" w:styleId="a4">
    <w:name w:val="annotation text"/>
    <w:basedOn w:val="a"/>
    <w:link w:val="Char0"/>
    <w:qFormat/>
    <w:rsid w:val="000D7554"/>
    <w:pPr>
      <w:jc w:val="left"/>
    </w:pPr>
  </w:style>
  <w:style w:type="paragraph" w:styleId="a5">
    <w:name w:val="footer"/>
    <w:basedOn w:val="a"/>
    <w:link w:val="Char1"/>
    <w:qFormat/>
    <w:rsid w:val="000D7554"/>
    <w:pPr>
      <w:tabs>
        <w:tab w:val="center" w:pos="4153"/>
        <w:tab w:val="right" w:pos="8306"/>
      </w:tabs>
      <w:snapToGrid w:val="0"/>
      <w:jc w:val="left"/>
    </w:pPr>
    <w:rPr>
      <w:sz w:val="18"/>
      <w:szCs w:val="18"/>
    </w:rPr>
  </w:style>
  <w:style w:type="paragraph" w:styleId="a6">
    <w:name w:val="header"/>
    <w:basedOn w:val="a"/>
    <w:qFormat/>
    <w:rsid w:val="000D7554"/>
    <w:rPr>
      <w:rFonts w:ascii="Arial" w:eastAsia="MS Mincho" w:hAnsi="Arial"/>
      <w:b/>
      <w:sz w:val="18"/>
    </w:rPr>
  </w:style>
  <w:style w:type="paragraph" w:styleId="a7">
    <w:name w:val="Normal (Web)"/>
    <w:basedOn w:val="a"/>
    <w:qFormat/>
    <w:rsid w:val="000D7554"/>
    <w:pPr>
      <w:spacing w:beforeAutospacing="1" w:afterAutospacing="1"/>
      <w:jc w:val="left"/>
    </w:pPr>
    <w:rPr>
      <w:kern w:val="0"/>
      <w:sz w:val="24"/>
    </w:rPr>
  </w:style>
  <w:style w:type="character" w:styleId="a8">
    <w:name w:val="FollowedHyperlink"/>
    <w:basedOn w:val="a0"/>
    <w:qFormat/>
    <w:rsid w:val="000D7554"/>
    <w:rPr>
      <w:rFonts w:ascii="Lucida Sans Unicode" w:eastAsia="Lucida Sans Unicode" w:hAnsi="Lucida Sans Unicode" w:cs="Lucida Sans Unicode"/>
      <w:color w:val="2779B6"/>
      <w:u w:val="single"/>
    </w:rPr>
  </w:style>
  <w:style w:type="character" w:styleId="a9">
    <w:name w:val="Hyperlink"/>
    <w:basedOn w:val="a0"/>
    <w:qFormat/>
    <w:rsid w:val="000D7554"/>
    <w:rPr>
      <w:color w:val="2779B6"/>
      <w:u w:val="single"/>
    </w:rPr>
  </w:style>
  <w:style w:type="table" w:styleId="aa">
    <w:name w:val="Table Grid"/>
    <w:basedOn w:val="a1"/>
    <w:qFormat/>
    <w:rsid w:val="000D75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qFormat/>
    <w:rsid w:val="000D7554"/>
    <w:pPr>
      <w:widowControl/>
      <w:spacing w:before="60"/>
      <w:ind w:left="1259" w:hanging="1259"/>
      <w:jc w:val="left"/>
    </w:pPr>
    <w:rPr>
      <w:rFonts w:ascii="Arial" w:eastAsia="MS Mincho" w:hAnsi="Arial"/>
      <w:kern w:val="0"/>
      <w:sz w:val="20"/>
      <w:lang w:val="en-GB" w:eastAsia="en-GB"/>
    </w:rPr>
  </w:style>
  <w:style w:type="paragraph" w:customStyle="1" w:styleId="Doc-text2">
    <w:name w:val="Doc-text2"/>
    <w:basedOn w:val="a"/>
    <w:link w:val="Doc-text2Char"/>
    <w:qFormat/>
    <w:rsid w:val="000D7554"/>
    <w:pPr>
      <w:tabs>
        <w:tab w:val="left" w:pos="1622"/>
      </w:tabs>
      <w:ind w:left="1622" w:hanging="363"/>
    </w:pPr>
  </w:style>
  <w:style w:type="character" w:customStyle="1" w:styleId="def3">
    <w:name w:val="def3"/>
    <w:basedOn w:val="a0"/>
    <w:qFormat/>
    <w:rsid w:val="000D7554"/>
    <w:rPr>
      <w:color w:val="313131"/>
    </w:rPr>
  </w:style>
  <w:style w:type="paragraph" w:customStyle="1" w:styleId="CRCoverPage">
    <w:name w:val="CR Cover Page"/>
    <w:qFormat/>
    <w:rsid w:val="000D7554"/>
    <w:pPr>
      <w:spacing w:after="120"/>
    </w:pPr>
    <w:rPr>
      <w:rFonts w:ascii="Arial" w:eastAsia="MS Mincho" w:hAnsi="Arial"/>
      <w:lang w:val="en-GB" w:eastAsia="en-US"/>
    </w:rPr>
  </w:style>
  <w:style w:type="character" w:customStyle="1" w:styleId="Char">
    <w:name w:val="文档结构图 Char"/>
    <w:basedOn w:val="a0"/>
    <w:link w:val="a3"/>
    <w:qFormat/>
    <w:rsid w:val="000D7554"/>
    <w:rPr>
      <w:rFonts w:ascii="宋体"/>
      <w:kern w:val="2"/>
      <w:sz w:val="18"/>
      <w:szCs w:val="18"/>
    </w:rPr>
  </w:style>
  <w:style w:type="character" w:customStyle="1" w:styleId="Char1">
    <w:name w:val="页脚 Char"/>
    <w:basedOn w:val="a0"/>
    <w:link w:val="a5"/>
    <w:qFormat/>
    <w:rsid w:val="000D7554"/>
    <w:rPr>
      <w:kern w:val="2"/>
      <w:sz w:val="18"/>
      <w:szCs w:val="18"/>
    </w:rPr>
  </w:style>
  <w:style w:type="paragraph" w:styleId="ab">
    <w:name w:val="Balloon Text"/>
    <w:basedOn w:val="a"/>
    <w:link w:val="Char2"/>
    <w:rsid w:val="00C03838"/>
    <w:rPr>
      <w:sz w:val="18"/>
      <w:szCs w:val="18"/>
    </w:rPr>
  </w:style>
  <w:style w:type="character" w:customStyle="1" w:styleId="Char2">
    <w:name w:val="批注框文本 Char"/>
    <w:basedOn w:val="a0"/>
    <w:link w:val="ab"/>
    <w:rsid w:val="00C03838"/>
    <w:rPr>
      <w:kern w:val="2"/>
      <w:sz w:val="18"/>
      <w:szCs w:val="18"/>
    </w:rPr>
  </w:style>
  <w:style w:type="character" w:styleId="ac">
    <w:name w:val="annotation reference"/>
    <w:basedOn w:val="a0"/>
    <w:rsid w:val="00C03838"/>
    <w:rPr>
      <w:sz w:val="21"/>
      <w:szCs w:val="21"/>
    </w:rPr>
  </w:style>
  <w:style w:type="paragraph" w:styleId="ad">
    <w:name w:val="annotation subject"/>
    <w:basedOn w:val="a4"/>
    <w:next w:val="a4"/>
    <w:link w:val="Char3"/>
    <w:rsid w:val="00C03838"/>
    <w:rPr>
      <w:b/>
      <w:bCs/>
    </w:rPr>
  </w:style>
  <w:style w:type="character" w:customStyle="1" w:styleId="Char0">
    <w:name w:val="批注文字 Char"/>
    <w:basedOn w:val="a0"/>
    <w:link w:val="a4"/>
    <w:rsid w:val="00C03838"/>
    <w:rPr>
      <w:kern w:val="2"/>
      <w:sz w:val="21"/>
      <w:szCs w:val="22"/>
    </w:rPr>
  </w:style>
  <w:style w:type="character" w:customStyle="1" w:styleId="Char3">
    <w:name w:val="批注主题 Char"/>
    <w:basedOn w:val="Char0"/>
    <w:link w:val="ad"/>
    <w:rsid w:val="00C03838"/>
  </w:style>
  <w:style w:type="character" w:customStyle="1" w:styleId="Doc-text2Char">
    <w:name w:val="Doc-text2 Char"/>
    <w:link w:val="Doc-text2"/>
    <w:rsid w:val="00BA0554"/>
    <w:rPr>
      <w:kern w:val="2"/>
      <w:sz w:val="21"/>
      <w:szCs w:val="22"/>
    </w:rPr>
  </w:style>
  <w:style w:type="paragraph" w:customStyle="1" w:styleId="B1">
    <w:name w:val="B1"/>
    <w:basedOn w:val="ae"/>
    <w:link w:val="B1Zchn"/>
    <w:qFormat/>
    <w:rsid w:val="00D501C9"/>
    <w:pPr>
      <w:widowControl/>
      <w:overflowPunct w:val="0"/>
      <w:autoSpaceDE w:val="0"/>
      <w:autoSpaceDN w:val="0"/>
      <w:adjustRightInd w:val="0"/>
      <w:spacing w:after="180"/>
      <w:ind w:left="568" w:firstLineChars="0" w:hanging="284"/>
      <w:contextualSpacing w:val="0"/>
      <w:jc w:val="left"/>
      <w:textAlignment w:val="baseline"/>
    </w:pPr>
    <w:rPr>
      <w:rFonts w:eastAsiaTheme="minorEastAsia"/>
      <w:kern w:val="0"/>
      <w:sz w:val="20"/>
      <w:szCs w:val="20"/>
      <w:lang w:val="en-GB" w:eastAsia="ja-JP"/>
    </w:rPr>
  </w:style>
  <w:style w:type="character" w:customStyle="1" w:styleId="B1Zchn">
    <w:name w:val="B1 Zchn"/>
    <w:link w:val="B1"/>
    <w:rsid w:val="00D501C9"/>
    <w:rPr>
      <w:rFonts w:eastAsiaTheme="minorEastAsia"/>
      <w:lang w:val="en-GB" w:eastAsia="ja-JP"/>
    </w:rPr>
  </w:style>
  <w:style w:type="paragraph" w:styleId="ae">
    <w:name w:val="List"/>
    <w:basedOn w:val="a"/>
    <w:rsid w:val="00D501C9"/>
    <w:pPr>
      <w:ind w:left="200" w:hangingChars="200" w:hanging="200"/>
      <w:contextualSpacing/>
    </w:pPr>
  </w:style>
  <w:style w:type="paragraph" w:styleId="af">
    <w:name w:val="List Paragraph"/>
    <w:basedOn w:val="a"/>
    <w:link w:val="Char4"/>
    <w:uiPriority w:val="34"/>
    <w:unhideWhenUsed/>
    <w:qFormat/>
    <w:rsid w:val="005326D2"/>
    <w:pPr>
      <w:widowControl/>
      <w:adjustRightInd w:val="0"/>
      <w:spacing w:line="300" w:lineRule="auto"/>
      <w:ind w:firstLineChars="200" w:firstLine="420"/>
      <w:jc w:val="left"/>
    </w:pPr>
    <w:rPr>
      <w:rFonts w:eastAsiaTheme="minorEastAsia"/>
      <w:kern w:val="0"/>
      <w:sz w:val="20"/>
    </w:rPr>
  </w:style>
  <w:style w:type="character" w:customStyle="1" w:styleId="Char4">
    <w:name w:val="列出段落 Char"/>
    <w:link w:val="af"/>
    <w:uiPriority w:val="34"/>
    <w:locked/>
    <w:rsid w:val="005326D2"/>
    <w:rPr>
      <w:rFonts w:eastAsiaTheme="minorEastAsia"/>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6</Pages>
  <Words>1683</Words>
  <Characters>9594</Characters>
  <Application>Microsoft Office Word</Application>
  <DocSecurity>0</DocSecurity>
  <Lines>79</Lines>
  <Paragraphs>22</Paragraphs>
  <ScaleCrop>false</ScaleCrop>
  <Company>zte</Company>
  <LinksUpToDate>false</LinksUpToDate>
  <CharactersWithSpaces>11255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ZTE-DU</cp:lastModifiedBy>
  <cp:revision>163</cp:revision>
  <cp:lastPrinted>2017-09-07T09:34:00Z</cp:lastPrinted>
  <dcterms:created xsi:type="dcterms:W3CDTF">2017-10-01T02:47:00Z</dcterms:created>
  <dcterms:modified xsi:type="dcterms:W3CDTF">2017-11-17T02:28:00Z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